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A9F" w:rsidRPr="008F5A9F" w:rsidRDefault="00E940BE" w:rsidP="008F5A9F">
      <w:pPr>
        <w:pStyle w:val="Titel"/>
        <w:rPr>
          <w:rFonts w:ascii="Arial" w:hAnsi="Arial" w:cs="Arial"/>
          <w:b/>
          <w:sz w:val="28"/>
          <w:szCs w:val="28"/>
        </w:rPr>
      </w:pPr>
      <w:r w:rsidRPr="008F5A9F">
        <w:rPr>
          <w:rFonts w:ascii="Arial" w:hAnsi="Arial" w:cs="Arial"/>
          <w:b/>
          <w:sz w:val="28"/>
          <w:szCs w:val="28"/>
        </w:rPr>
        <w:t>Echsen</w:t>
      </w:r>
    </w:p>
    <w:p w:rsidR="00E940BE" w:rsidRPr="008F5A9F" w:rsidRDefault="00E940BE" w:rsidP="00E940BE">
      <w:pPr>
        <w:keepNext/>
        <w:keepLines/>
        <w:spacing w:after="240" w:line="240" w:lineRule="auto"/>
        <w:outlineLvl w:val="2"/>
        <w:rPr>
          <w:rFonts w:ascii="Arial" w:eastAsia="WenQuanYi Micro Hei" w:hAnsi="Arial" w:cs="Calibri"/>
          <w:b/>
          <w:bCs/>
          <w:color w:val="000000"/>
          <w:sz w:val="24"/>
          <w:szCs w:val="24"/>
        </w:rPr>
      </w:pPr>
      <w:r w:rsidRPr="008F5A9F">
        <w:rPr>
          <w:rFonts w:ascii="Arial" w:eastAsia="Times New Roman" w:hAnsi="Arial" w:cs="Times New Roman"/>
          <w:b/>
          <w:bCs/>
          <w:color w:val="000000"/>
          <w:sz w:val="24"/>
          <w:szCs w:val="24"/>
          <w:lang w:eastAsia="de-DE"/>
        </w:rPr>
        <w:t>Aufgaben</w:t>
      </w:r>
    </w:p>
    <w:p w:rsidR="00E940BE" w:rsidRPr="00E940BE" w:rsidRDefault="00E940BE" w:rsidP="00E940BE">
      <w:pPr>
        <w:tabs>
          <w:tab w:val="left" w:pos="708"/>
        </w:tabs>
        <w:suppressAutoHyphens/>
        <w:spacing w:after="0" w:line="360" w:lineRule="auto"/>
        <w:jc w:val="both"/>
        <w:rPr>
          <w:rFonts w:ascii="Arial" w:eastAsia="WenQuanYi Micro Hei" w:hAnsi="Arial" w:cs="Calibri"/>
          <w:i/>
        </w:rPr>
      </w:pPr>
      <w:r w:rsidRPr="00E940BE">
        <w:rPr>
          <w:rFonts w:ascii="Arial" w:eastAsia="WenQuanYi Micro Hei" w:hAnsi="Arial" w:cs="Calibri"/>
          <w:i/>
        </w:rPr>
        <w:t xml:space="preserve">Unter allen Organismen der Erde hat sich nur bei zwei Wirbeltierklassen, den Vögeln und Säugetieren, vollständig die Fähigkeit zur dauerhaften Regulation ihrer Körpertemperatur entwickelt. Sie werden daher auch als </w:t>
      </w:r>
      <w:proofErr w:type="spellStart"/>
      <w:r w:rsidRPr="00E940BE">
        <w:rPr>
          <w:rFonts w:ascii="Arial" w:eastAsia="WenQuanYi Micro Hei" w:hAnsi="Arial" w:cs="Calibri"/>
          <w:i/>
        </w:rPr>
        <w:t>homöotherm</w:t>
      </w:r>
      <w:proofErr w:type="spellEnd"/>
      <w:r w:rsidRPr="00E940BE">
        <w:rPr>
          <w:rFonts w:ascii="Arial" w:eastAsia="WenQuanYi Micro Hei" w:hAnsi="Arial" w:cs="Calibri"/>
          <w:i/>
        </w:rPr>
        <w:t xml:space="preserve"> bezeichnet. Dank ihres intensiven Stoffwechsels gelingt es ihnen, ihre Körpertemperatur durch die Produktion von Wärme dauerhaft relativ hoch zu halten (</w:t>
      </w:r>
      <w:proofErr w:type="spellStart"/>
      <w:r w:rsidRPr="00E940BE">
        <w:rPr>
          <w:rFonts w:ascii="Arial" w:eastAsia="WenQuanYi Micro Hei" w:hAnsi="Arial" w:cs="Calibri"/>
          <w:i/>
        </w:rPr>
        <w:t>Endothermie</w:t>
      </w:r>
      <w:proofErr w:type="spellEnd"/>
      <w:r w:rsidRPr="00E940BE">
        <w:rPr>
          <w:rFonts w:ascii="Arial" w:eastAsia="WenQuanYi Micro Hei" w:hAnsi="Arial" w:cs="Calibri"/>
          <w:i/>
        </w:rPr>
        <w:t>). Andere Wirbeltiere, wie etwa Reptilien, müssen ihren Körper z. B. durch Sonnenbaden von außen aufwärmen (</w:t>
      </w:r>
      <w:proofErr w:type="spellStart"/>
      <w:r w:rsidRPr="00E940BE">
        <w:rPr>
          <w:rFonts w:ascii="Arial" w:eastAsia="WenQuanYi Micro Hei" w:hAnsi="Arial" w:cs="Calibri"/>
          <w:i/>
        </w:rPr>
        <w:t>Ektothermie</w:t>
      </w:r>
      <w:proofErr w:type="spellEnd"/>
      <w:r w:rsidRPr="00E940BE">
        <w:rPr>
          <w:rFonts w:ascii="Arial" w:eastAsia="WenQuanYi Micro Hei" w:hAnsi="Arial" w:cs="Calibri"/>
          <w:i/>
        </w:rPr>
        <w:t xml:space="preserve">), wobei die Sonneneinstrahlung auch für die notwendige Bruttemperatur sorgt, was zur Entwicklung der abgelegten, weichschaligen Eier führt. Die evolutionäre Entstehung der </w:t>
      </w:r>
      <w:proofErr w:type="spellStart"/>
      <w:r w:rsidRPr="00E940BE">
        <w:rPr>
          <w:rFonts w:ascii="Arial" w:eastAsia="WenQuanYi Micro Hei" w:hAnsi="Arial" w:cs="Calibri"/>
          <w:i/>
        </w:rPr>
        <w:t>Endothermie</w:t>
      </w:r>
      <w:proofErr w:type="spellEnd"/>
      <w:r w:rsidRPr="00E940BE">
        <w:rPr>
          <w:rFonts w:ascii="Arial" w:eastAsia="WenQuanYi Micro Hei" w:hAnsi="Arial" w:cs="Calibri"/>
          <w:i/>
        </w:rPr>
        <w:t xml:space="preserve"> wird unter Evolutionsbiologen intensiv diskutiert.</w:t>
      </w:r>
    </w:p>
    <w:p w:rsidR="00E940BE" w:rsidRPr="00E940BE" w:rsidRDefault="00E940BE" w:rsidP="00E940BE">
      <w:pPr>
        <w:tabs>
          <w:tab w:val="left" w:pos="708"/>
        </w:tabs>
        <w:suppressAutoHyphens/>
        <w:spacing w:after="0" w:line="360" w:lineRule="auto"/>
        <w:jc w:val="both"/>
        <w:rPr>
          <w:rFonts w:ascii="Arial" w:eastAsia="Times New Roman" w:hAnsi="Arial" w:cs="Arial"/>
          <w:b/>
          <w:iCs/>
          <w:sz w:val="24"/>
          <w:szCs w:val="24"/>
          <w:lang w:eastAsia="de-DE"/>
        </w:rPr>
      </w:pPr>
    </w:p>
    <w:p w:rsidR="00E940BE" w:rsidRPr="00E940BE" w:rsidRDefault="00E940BE" w:rsidP="00E940BE">
      <w:pPr>
        <w:widowControl w:val="0"/>
        <w:suppressAutoHyphens/>
        <w:autoSpaceDN w:val="0"/>
        <w:spacing w:after="0" w:line="360" w:lineRule="auto"/>
        <w:ind w:left="357" w:hanging="357"/>
        <w:jc w:val="both"/>
        <w:textAlignment w:val="baseline"/>
        <w:rPr>
          <w:rFonts w:ascii="Arial" w:eastAsia="WenQuanYi Micro Hei" w:hAnsi="Arial" w:cs="Calibri"/>
        </w:rPr>
      </w:pPr>
      <w:r w:rsidRPr="00E940BE">
        <w:rPr>
          <w:rFonts w:ascii="Arial" w:eastAsia="WenQuanYi Micro Hei" w:hAnsi="Arial" w:cs="Calibri"/>
        </w:rPr>
        <w:t>1</w:t>
      </w:r>
      <w:r w:rsidRPr="00E940BE">
        <w:rPr>
          <w:rFonts w:ascii="Arial" w:eastAsia="WenQuanYi Micro Hei" w:hAnsi="Arial" w:cs="Calibri"/>
        </w:rPr>
        <w:tab/>
        <w:t xml:space="preserve">Werten Sie die in den Materialien 2 und 3 dargestellten Untersuchungsergebnisse im Hinblick auf die stoffwechselphysiologischen Grundlagen der Körpertemperatur des Schwarzweißen </w:t>
      </w:r>
      <w:proofErr w:type="spellStart"/>
      <w:r w:rsidRPr="00E940BE">
        <w:rPr>
          <w:rFonts w:ascii="Arial" w:eastAsia="WenQuanYi Micro Hei" w:hAnsi="Arial" w:cs="Calibri"/>
        </w:rPr>
        <w:t>Tejus</w:t>
      </w:r>
      <w:proofErr w:type="spellEnd"/>
      <w:r w:rsidRPr="00E940BE">
        <w:rPr>
          <w:rFonts w:ascii="Arial" w:eastAsia="WenQuanYi Micro Hei" w:hAnsi="Arial" w:cs="Calibri"/>
        </w:rPr>
        <w:t xml:space="preserve"> unter Berücksichtigung der Lebensweise (Material 1) aus.</w:t>
      </w:r>
    </w:p>
    <w:p w:rsidR="00E940BE" w:rsidRPr="00E940BE" w:rsidRDefault="00E940BE" w:rsidP="00E940BE">
      <w:pPr>
        <w:widowControl w:val="0"/>
        <w:suppressAutoHyphens/>
        <w:autoSpaceDN w:val="0"/>
        <w:spacing w:after="0" w:line="360" w:lineRule="auto"/>
        <w:ind w:left="357" w:hanging="357"/>
        <w:jc w:val="both"/>
        <w:textAlignment w:val="baseline"/>
        <w:rPr>
          <w:rFonts w:ascii="Arial" w:eastAsia="WenQuanYi Micro Hei" w:hAnsi="Arial" w:cs="Calibri"/>
        </w:rPr>
      </w:pPr>
      <w:r w:rsidRPr="00E940BE">
        <w:rPr>
          <w:rFonts w:ascii="Arial" w:eastAsia="WenQuanYi Micro Hei" w:hAnsi="Arial" w:cs="Calibri"/>
        </w:rPr>
        <w:t>2</w:t>
      </w:r>
      <w:r w:rsidRPr="00E940BE">
        <w:rPr>
          <w:rFonts w:ascii="Arial" w:eastAsia="WenQuanYi Micro Hei" w:hAnsi="Arial" w:cs="Calibri"/>
        </w:rPr>
        <w:tab/>
        <w:t>Veranschaulichen Sie Beziehungen zwischen den gemessenen Größen im Stoffwechsel der Tiere in geeigneter Form. Erläutern Sie Ihre Abbildung.</w:t>
      </w:r>
    </w:p>
    <w:p w:rsidR="00E940BE" w:rsidRPr="00E940BE" w:rsidRDefault="00E940BE" w:rsidP="00E940BE">
      <w:pPr>
        <w:widowControl w:val="0"/>
        <w:suppressAutoHyphens/>
        <w:autoSpaceDN w:val="0"/>
        <w:spacing w:after="0" w:line="360" w:lineRule="auto"/>
        <w:ind w:left="357" w:hanging="357"/>
        <w:jc w:val="both"/>
        <w:textAlignment w:val="baseline"/>
        <w:rPr>
          <w:rFonts w:ascii="Arial" w:eastAsia="WenQuanYi Micro Hei" w:hAnsi="Arial" w:cs="Calibri"/>
        </w:rPr>
      </w:pPr>
      <w:r w:rsidRPr="00E940BE">
        <w:rPr>
          <w:rFonts w:ascii="Arial" w:eastAsia="WenQuanYi Micro Hei" w:hAnsi="Arial" w:cs="Calibri"/>
        </w:rPr>
        <w:t>3</w:t>
      </w:r>
      <w:r w:rsidRPr="00E940BE">
        <w:rPr>
          <w:rFonts w:ascii="Arial" w:eastAsia="WenQuanYi Micro Hei" w:hAnsi="Arial" w:cs="Calibri"/>
        </w:rPr>
        <w:tab/>
        <w:t xml:space="preserve">Erläutern Sie Kosten und Nutzen der </w:t>
      </w:r>
      <w:proofErr w:type="spellStart"/>
      <w:r w:rsidRPr="00E940BE">
        <w:rPr>
          <w:rFonts w:ascii="Arial" w:eastAsia="WenQuanYi Micro Hei" w:hAnsi="Arial" w:cs="Calibri"/>
        </w:rPr>
        <w:t>Homöothermie</w:t>
      </w:r>
      <w:proofErr w:type="spellEnd"/>
      <w:r w:rsidRPr="00E940BE">
        <w:rPr>
          <w:rFonts w:ascii="Arial" w:eastAsia="WenQuanYi Micro Hei" w:hAnsi="Arial" w:cs="Calibri"/>
        </w:rPr>
        <w:t xml:space="preserve"> und erklären Sie die biologische Bedeutung der Befunde zum Schwarzweißen </w:t>
      </w:r>
      <w:proofErr w:type="spellStart"/>
      <w:r w:rsidRPr="00E940BE">
        <w:rPr>
          <w:rFonts w:ascii="Arial" w:eastAsia="WenQuanYi Micro Hei" w:hAnsi="Arial" w:cs="Calibri"/>
        </w:rPr>
        <w:t>Teju</w:t>
      </w:r>
      <w:proofErr w:type="spellEnd"/>
      <w:r w:rsidRPr="00E940BE">
        <w:rPr>
          <w:rFonts w:ascii="Arial" w:eastAsia="WenQuanYi Micro Hei" w:hAnsi="Arial" w:cs="Calibri"/>
        </w:rPr>
        <w:t xml:space="preserve"> auf </w:t>
      </w:r>
      <w:proofErr w:type="spellStart"/>
      <w:r w:rsidRPr="00E940BE">
        <w:rPr>
          <w:rFonts w:ascii="Arial" w:eastAsia="WenQuanYi Micro Hei" w:hAnsi="Arial" w:cs="Calibri"/>
        </w:rPr>
        <w:t>ultimater</w:t>
      </w:r>
      <w:proofErr w:type="spellEnd"/>
      <w:r w:rsidRPr="00E940BE">
        <w:rPr>
          <w:rFonts w:ascii="Arial" w:eastAsia="WenQuanYi Micro Hei" w:hAnsi="Arial" w:cs="Calibri"/>
        </w:rPr>
        <w:t xml:space="preserve"> Ebene.</w:t>
      </w:r>
    </w:p>
    <w:p w:rsidR="00E940BE" w:rsidRPr="00E940BE" w:rsidRDefault="00E940BE" w:rsidP="00E940BE">
      <w:pPr>
        <w:widowControl w:val="0"/>
        <w:suppressAutoHyphens/>
        <w:autoSpaceDN w:val="0"/>
        <w:spacing w:after="0" w:line="360" w:lineRule="auto"/>
        <w:ind w:left="357" w:hanging="357"/>
        <w:jc w:val="both"/>
        <w:textAlignment w:val="baseline"/>
        <w:rPr>
          <w:rFonts w:ascii="Arial" w:eastAsia="WenQuanYi Micro Hei" w:hAnsi="Arial" w:cs="Calibri"/>
        </w:rPr>
      </w:pPr>
      <w:r w:rsidRPr="00E940BE">
        <w:rPr>
          <w:rFonts w:ascii="Arial" w:eastAsia="WenQuanYi Micro Hei" w:hAnsi="Arial" w:cs="Calibri"/>
        </w:rPr>
        <w:t>4</w:t>
      </w:r>
      <w:r w:rsidRPr="00E940BE">
        <w:rPr>
          <w:rFonts w:ascii="Arial" w:eastAsia="WenQuanYi Micro Hei" w:hAnsi="Arial" w:cs="Calibri"/>
        </w:rPr>
        <w:tab/>
        <w:t xml:space="preserve">Stellen Sie den möglichen Evolutionsverlauf nach einer der in Material 4 beschriebenen Hypothesen schematisch dar. Nehmen Sie auf der Grundlage der Befunde über den Schwarzweißen </w:t>
      </w:r>
      <w:proofErr w:type="spellStart"/>
      <w:r w:rsidRPr="00E940BE">
        <w:rPr>
          <w:rFonts w:ascii="Arial" w:eastAsia="WenQuanYi Micro Hei" w:hAnsi="Arial" w:cs="Calibri"/>
        </w:rPr>
        <w:t>Teju</w:t>
      </w:r>
      <w:proofErr w:type="spellEnd"/>
      <w:r w:rsidRPr="00E940BE">
        <w:rPr>
          <w:rFonts w:ascii="Arial" w:eastAsia="WenQuanYi Micro Hei" w:hAnsi="Arial" w:cs="Calibri"/>
        </w:rPr>
        <w:t xml:space="preserve"> Stellung zu den drei Hypothesen.</w:t>
      </w:r>
    </w:p>
    <w:p w:rsidR="00E940BE" w:rsidRPr="00E940BE" w:rsidRDefault="00E940BE" w:rsidP="00E940BE">
      <w:pPr>
        <w:tabs>
          <w:tab w:val="left" w:pos="708"/>
        </w:tabs>
        <w:suppressAutoHyphens/>
        <w:spacing w:after="0" w:line="360" w:lineRule="auto"/>
        <w:jc w:val="both"/>
        <w:rPr>
          <w:rFonts w:ascii="Arial" w:eastAsia="WenQuanYi Micro Hei" w:hAnsi="Arial" w:cs="Calibri"/>
        </w:rPr>
      </w:pPr>
    </w:p>
    <w:p w:rsidR="00E940BE" w:rsidRPr="00E940BE" w:rsidRDefault="00E940BE" w:rsidP="00E940BE">
      <w:pPr>
        <w:spacing w:after="200" w:line="276" w:lineRule="auto"/>
        <w:rPr>
          <w:rFonts w:ascii="Arial" w:eastAsia="WenQuanYi Micro Hei" w:hAnsi="Arial" w:cs="Times New Roman"/>
          <w:b/>
          <w:bCs/>
          <w:color w:val="000000"/>
          <w:sz w:val="26"/>
        </w:rPr>
      </w:pPr>
      <w:r w:rsidRPr="00E940BE">
        <w:rPr>
          <w:rFonts w:ascii="Arial" w:eastAsia="WenQuanYi Micro Hei" w:hAnsi="Arial" w:cs="Times New Roman"/>
        </w:rPr>
        <w:br w:type="page"/>
      </w:r>
    </w:p>
    <w:p w:rsidR="00E940BE" w:rsidRPr="008F5A9F" w:rsidRDefault="00E940BE" w:rsidP="00E940BE">
      <w:pPr>
        <w:keepNext/>
        <w:keepLines/>
        <w:spacing w:after="240" w:line="240" w:lineRule="auto"/>
        <w:outlineLvl w:val="2"/>
        <w:rPr>
          <w:rFonts w:ascii="Arial" w:eastAsia="WenQuanYi Micro Hei" w:hAnsi="Arial" w:cs="Times New Roman"/>
          <w:b/>
          <w:bCs/>
          <w:color w:val="000000"/>
          <w:sz w:val="24"/>
          <w:szCs w:val="24"/>
        </w:rPr>
      </w:pPr>
      <w:r w:rsidRPr="008F5A9F">
        <w:rPr>
          <w:rFonts w:ascii="Arial" w:eastAsia="WenQuanYi Micro Hei" w:hAnsi="Arial" w:cs="Times New Roman"/>
          <w:b/>
          <w:bCs/>
          <w:color w:val="000000"/>
          <w:sz w:val="24"/>
          <w:szCs w:val="24"/>
        </w:rPr>
        <w:lastRenderedPageBreak/>
        <w:t>Materialien</w:t>
      </w:r>
    </w:p>
    <w:p w:rsidR="00E940BE" w:rsidRPr="008F5A9F" w:rsidRDefault="00E940BE" w:rsidP="00E940BE">
      <w:pPr>
        <w:tabs>
          <w:tab w:val="left" w:pos="708"/>
        </w:tabs>
        <w:suppressAutoHyphens/>
        <w:spacing w:after="0" w:line="360" w:lineRule="auto"/>
        <w:jc w:val="both"/>
        <w:rPr>
          <w:rFonts w:ascii="Arial" w:eastAsia="WenQuanYi Micro Hei" w:hAnsi="Arial" w:cs="Arial"/>
          <w:b/>
          <w:bCs/>
        </w:rPr>
      </w:pPr>
      <w:r w:rsidRPr="008F5A9F">
        <w:rPr>
          <w:rFonts w:ascii="Arial" w:eastAsia="WenQuanYi Micro Hei" w:hAnsi="Arial" w:cs="Arial"/>
          <w:b/>
          <w:bCs/>
        </w:rPr>
        <w:t xml:space="preserve">Material 1: Lebensweise des Schwarzweißen </w:t>
      </w:r>
      <w:proofErr w:type="spellStart"/>
      <w:r w:rsidRPr="008F5A9F">
        <w:rPr>
          <w:rFonts w:ascii="Arial" w:eastAsia="WenQuanYi Micro Hei" w:hAnsi="Arial" w:cs="Arial"/>
          <w:b/>
          <w:bCs/>
        </w:rPr>
        <w:t>Tejus</w:t>
      </w:r>
      <w:proofErr w:type="spellEnd"/>
    </w:p>
    <w:p w:rsidR="00E940BE" w:rsidRPr="008F5A9F" w:rsidRDefault="00E940BE" w:rsidP="00E940BE">
      <w:pPr>
        <w:tabs>
          <w:tab w:val="left" w:pos="708"/>
        </w:tabs>
        <w:suppressAutoHyphens/>
        <w:spacing w:after="0" w:line="360" w:lineRule="auto"/>
        <w:jc w:val="both"/>
        <w:rPr>
          <w:rFonts w:ascii="Arial" w:eastAsia="WenQuanYi Micro Hei" w:hAnsi="Arial" w:cs="Arial"/>
        </w:rPr>
      </w:pPr>
      <w:r w:rsidRPr="008F5A9F">
        <w:rPr>
          <w:rFonts w:ascii="Arial" w:eastAsia="WenQuanYi Micro Hei" w:hAnsi="Arial" w:cs="Arial"/>
        </w:rPr>
        <w:t xml:space="preserve">Der Schwarzweiße </w:t>
      </w:r>
      <w:proofErr w:type="spellStart"/>
      <w:r w:rsidRPr="008F5A9F">
        <w:rPr>
          <w:rFonts w:ascii="Arial" w:eastAsia="WenQuanYi Micro Hei" w:hAnsi="Arial" w:cs="Arial"/>
        </w:rPr>
        <w:t>Teju</w:t>
      </w:r>
      <w:proofErr w:type="spellEnd"/>
      <w:r w:rsidRPr="008F5A9F">
        <w:rPr>
          <w:rFonts w:ascii="Arial" w:eastAsia="WenQuanYi Micro Hei" w:hAnsi="Arial" w:cs="Arial"/>
        </w:rPr>
        <w:t xml:space="preserve"> (Salvator </w:t>
      </w:r>
      <w:proofErr w:type="spellStart"/>
      <w:r w:rsidRPr="008F5A9F">
        <w:rPr>
          <w:rFonts w:ascii="Arial" w:eastAsia="WenQuanYi Micro Hei" w:hAnsi="Arial" w:cs="Arial"/>
        </w:rPr>
        <w:t>merianae</w:t>
      </w:r>
      <w:proofErr w:type="spellEnd"/>
      <w:r w:rsidRPr="008F5A9F">
        <w:rPr>
          <w:rFonts w:ascii="Arial" w:eastAsia="WenQuanYi Micro Hei" w:hAnsi="Arial" w:cs="Arial"/>
        </w:rPr>
        <w:t xml:space="preserve">) erreicht bei einer Körpergröße von ca. 1,50 m ein Körpergewicht von etwa sieben Kilogramm. In ihrer südamerikanischen Heimat zeigen die Echsen einen ausgeprägten Jahresrhythmus der Aktivität. Während der Frühjahrs- und Sommermonate (von Ende September bis März) legen sie auf der Futtersuche täglich Strecken von mehreren Kilometern zurück. Die Tiere nutzen ein breites Nahrungsspektrum, das von Früchten über Insekten bis hin zu kleineren Wirbeltieren reicht. Nachts ziehen sie sich in Wohn- und Schlafhöhlen zurück, die sie mit ihren kräftigen Krallen gegraben haben. In diesen verbringen sie auch gruppenweise die Herbst- und Wintermonate (April bis September) in Winterstarre. Gegen Ende dieser Periode verlassen zunächst die Männchen ihre Höhle, um auf die Suche nach Territorien und Paarungspartnerinnen zu gehen. Weibchen sammeln in dieser Zeit Nestmaterial. Nach erfolgter Begattung und Befruchtung beginnen sie im Oktober/November mit der Eiablage in der Höhle. Ein Gelege entspricht etwa 40 % ihrer </w:t>
      </w:r>
      <w:proofErr w:type="spellStart"/>
      <w:r w:rsidRPr="008F5A9F">
        <w:rPr>
          <w:rFonts w:ascii="Arial" w:eastAsia="WenQuanYi Micro Hei" w:hAnsi="Arial" w:cs="Arial"/>
        </w:rPr>
        <w:t>Körpermasse</w:t>
      </w:r>
      <w:proofErr w:type="spellEnd"/>
      <w:r w:rsidRPr="008F5A9F">
        <w:rPr>
          <w:rFonts w:ascii="Arial" w:eastAsia="WenQuanYi Micro Hei" w:hAnsi="Arial" w:cs="Arial"/>
        </w:rPr>
        <w:t xml:space="preserve">. Das Gelege besteht aus bis zu 65 Eiern und wird von den </w:t>
      </w:r>
      <w:proofErr w:type="spellStart"/>
      <w:r w:rsidRPr="008F5A9F">
        <w:rPr>
          <w:rFonts w:ascii="Arial" w:eastAsia="WenQuanYi Micro Hei" w:hAnsi="Arial" w:cs="Arial"/>
        </w:rPr>
        <w:t>Tejus</w:t>
      </w:r>
      <w:proofErr w:type="spellEnd"/>
      <w:r w:rsidRPr="008F5A9F">
        <w:rPr>
          <w:rFonts w:ascii="Arial" w:eastAsia="WenQuanYi Micro Hei" w:hAnsi="Arial" w:cs="Arial"/>
        </w:rPr>
        <w:t xml:space="preserve"> gewärmt. Nach rund 130 Tagen schlüpfen die Jungtiere. Beobachtungen während dieser Zeit lassen vermuten, dass </w:t>
      </w:r>
      <w:proofErr w:type="spellStart"/>
      <w:r w:rsidRPr="008F5A9F">
        <w:rPr>
          <w:rFonts w:ascii="Arial" w:eastAsia="WenQuanYi Micro Hei" w:hAnsi="Arial" w:cs="Arial"/>
        </w:rPr>
        <w:t>Tejus</w:t>
      </w:r>
      <w:proofErr w:type="spellEnd"/>
      <w:r w:rsidRPr="008F5A9F">
        <w:rPr>
          <w:rFonts w:ascii="Arial" w:eastAsia="WenQuanYi Micro Hei" w:hAnsi="Arial" w:cs="Arial"/>
        </w:rPr>
        <w:t xml:space="preserve"> eine primitive Form der Brutfürsorge betreiben.</w:t>
      </w:r>
    </w:p>
    <w:p w:rsidR="00E940BE" w:rsidRPr="008F5A9F" w:rsidRDefault="00E940BE" w:rsidP="00E940BE">
      <w:pPr>
        <w:tabs>
          <w:tab w:val="left" w:pos="708"/>
        </w:tabs>
        <w:suppressAutoHyphens/>
        <w:spacing w:after="0" w:line="360" w:lineRule="auto"/>
        <w:jc w:val="both"/>
        <w:rPr>
          <w:rFonts w:ascii="Arial" w:eastAsia="WenQuanYi Micro Hei" w:hAnsi="Arial" w:cs="Arial"/>
          <w:sz w:val="16"/>
          <w:szCs w:val="16"/>
        </w:rPr>
      </w:pPr>
    </w:p>
    <w:p w:rsidR="00E940BE" w:rsidRPr="008F5A9F" w:rsidRDefault="00E940BE" w:rsidP="00E940BE">
      <w:pPr>
        <w:tabs>
          <w:tab w:val="left" w:pos="708"/>
        </w:tabs>
        <w:suppressAutoHyphens/>
        <w:spacing w:after="0" w:line="240" w:lineRule="auto"/>
        <w:rPr>
          <w:rFonts w:ascii="Arial" w:eastAsia="WenQuanYi Micro Hei" w:hAnsi="Arial" w:cs="Arial"/>
          <w:sz w:val="20"/>
          <w:szCs w:val="20"/>
        </w:rPr>
      </w:pPr>
      <w:proofErr w:type="spellStart"/>
      <w:r w:rsidRPr="008F5A9F">
        <w:rPr>
          <w:rFonts w:ascii="Arial" w:eastAsia="WenQuanYi Micro Hei" w:hAnsi="Arial" w:cs="Arial"/>
          <w:sz w:val="20"/>
          <w:szCs w:val="20"/>
          <w:lang w:val="en-US"/>
        </w:rPr>
        <w:t>Nach</w:t>
      </w:r>
      <w:proofErr w:type="spellEnd"/>
      <w:r w:rsidRPr="008F5A9F">
        <w:rPr>
          <w:rFonts w:ascii="Arial" w:eastAsia="WenQuanYi Micro Hei" w:hAnsi="Arial" w:cs="Arial"/>
          <w:sz w:val="20"/>
          <w:szCs w:val="20"/>
          <w:lang w:val="en-US"/>
        </w:rPr>
        <w:t xml:space="preserve">: Tattersall, G. J. u. a.: Seasonal reproductive </w:t>
      </w:r>
      <w:proofErr w:type="spellStart"/>
      <w:r w:rsidRPr="008F5A9F">
        <w:rPr>
          <w:rFonts w:ascii="Arial" w:eastAsia="WenQuanYi Micro Hei" w:hAnsi="Arial" w:cs="Arial"/>
          <w:sz w:val="20"/>
          <w:szCs w:val="20"/>
          <w:lang w:val="en-US"/>
        </w:rPr>
        <w:t>endothermy</w:t>
      </w:r>
      <w:proofErr w:type="spellEnd"/>
      <w:r w:rsidRPr="008F5A9F">
        <w:rPr>
          <w:rFonts w:ascii="Arial" w:eastAsia="WenQuanYi Micro Hei" w:hAnsi="Arial" w:cs="Arial"/>
          <w:sz w:val="20"/>
          <w:szCs w:val="20"/>
          <w:lang w:val="en-US"/>
        </w:rPr>
        <w:t xml:space="preserve"> in tegu lizards. </w:t>
      </w:r>
      <w:r w:rsidRPr="008F5A9F">
        <w:rPr>
          <w:rFonts w:ascii="Arial" w:eastAsia="WenQuanYi Micro Hei" w:hAnsi="Arial" w:cs="Arial"/>
          <w:sz w:val="20"/>
          <w:szCs w:val="20"/>
        </w:rPr>
        <w:t xml:space="preserve">In: </w:t>
      </w:r>
      <w:hyperlink r:id="rId4" w:history="1">
        <w:r w:rsidRPr="008F5A9F">
          <w:rPr>
            <w:rFonts w:ascii="Arial" w:eastAsia="WenQuanYi Micro Hei" w:hAnsi="Arial" w:cs="Arial"/>
            <w:color w:val="0000FF"/>
            <w:sz w:val="20"/>
            <w:szCs w:val="20"/>
            <w:u w:val="single"/>
          </w:rPr>
          <w:t>http://advances.sciencemag.org/content/advances/2/1/e1500951.full.pdf</w:t>
        </w:r>
      </w:hyperlink>
      <w:r w:rsidRPr="008F5A9F">
        <w:rPr>
          <w:rFonts w:ascii="Arial" w:eastAsia="WenQuanYi Micro Hei" w:hAnsi="Arial" w:cs="Arial"/>
          <w:sz w:val="20"/>
          <w:szCs w:val="20"/>
        </w:rPr>
        <w:t xml:space="preserve"> (21.07.2016)</w:t>
      </w:r>
    </w:p>
    <w:p w:rsidR="00E940BE" w:rsidRPr="008F5A9F" w:rsidRDefault="00E940BE" w:rsidP="00E940BE">
      <w:pPr>
        <w:tabs>
          <w:tab w:val="left" w:pos="708"/>
        </w:tabs>
        <w:suppressAutoHyphens/>
        <w:spacing w:after="0" w:line="360" w:lineRule="auto"/>
        <w:jc w:val="both"/>
        <w:rPr>
          <w:rFonts w:ascii="Arial" w:eastAsia="WenQuanYi Micro Hei" w:hAnsi="Arial" w:cs="Arial"/>
          <w:bCs/>
        </w:rPr>
      </w:pPr>
    </w:p>
    <w:p w:rsidR="00E940BE" w:rsidRPr="008F5A9F" w:rsidRDefault="00E940BE" w:rsidP="00E940BE">
      <w:pPr>
        <w:tabs>
          <w:tab w:val="left" w:pos="708"/>
        </w:tabs>
        <w:suppressAutoHyphens/>
        <w:spacing w:after="0" w:line="360" w:lineRule="auto"/>
        <w:jc w:val="both"/>
        <w:rPr>
          <w:rFonts w:ascii="Arial" w:eastAsia="WenQuanYi Micro Hei" w:hAnsi="Arial" w:cs="Arial"/>
          <w:bCs/>
        </w:rPr>
      </w:pPr>
    </w:p>
    <w:p w:rsidR="00E940BE" w:rsidRPr="008F5A9F" w:rsidRDefault="00E940BE" w:rsidP="00E940BE">
      <w:pPr>
        <w:tabs>
          <w:tab w:val="left" w:pos="708"/>
        </w:tabs>
        <w:suppressAutoHyphens/>
        <w:spacing w:after="0" w:line="360" w:lineRule="auto"/>
        <w:jc w:val="both"/>
        <w:rPr>
          <w:rFonts w:ascii="Arial" w:eastAsia="WenQuanYi Micro Hei" w:hAnsi="Arial" w:cs="Arial"/>
          <w:b/>
          <w:bCs/>
        </w:rPr>
      </w:pPr>
      <w:r w:rsidRPr="008F5A9F">
        <w:rPr>
          <w:rFonts w:ascii="Arial" w:eastAsia="WenQuanYi Micro Hei" w:hAnsi="Arial" w:cs="Arial"/>
          <w:b/>
          <w:bCs/>
        </w:rPr>
        <w:t>Material 2: Durchschnittliche Körpertemperatur und äußere Bedingungen</w:t>
      </w:r>
    </w:p>
    <w:p w:rsidR="00E940BE" w:rsidRPr="008F5A9F" w:rsidRDefault="00E940BE" w:rsidP="00E940BE">
      <w:pPr>
        <w:tabs>
          <w:tab w:val="left" w:pos="708"/>
        </w:tabs>
        <w:suppressAutoHyphens/>
        <w:spacing w:after="0" w:line="360" w:lineRule="auto"/>
        <w:jc w:val="both"/>
        <w:rPr>
          <w:rFonts w:ascii="Arial" w:eastAsia="WenQuanYi Micro Hei" w:hAnsi="Arial" w:cs="Arial"/>
        </w:rPr>
      </w:pPr>
      <w:r w:rsidRPr="008F5A9F">
        <w:rPr>
          <w:rFonts w:ascii="Arial" w:eastAsia="WenQuanYi Micro Hei" w:hAnsi="Arial" w:cs="Arial"/>
          <w:b/>
          <w:noProof/>
          <w:lang w:eastAsia="de-DE"/>
        </w:rPr>
        <w:drawing>
          <wp:inline distT="0" distB="0" distL="0" distR="0" wp14:anchorId="724CABAC" wp14:editId="0262DD86">
            <wp:extent cx="2241916" cy="6159361"/>
            <wp:effectExtent l="3492" t="0" r="0" b="0"/>
            <wp:docPr id="6" name="Grafik 6" descr="Z:\Eigene Dateien AB\LP GYM\nbA\nbA nach Disk in Halberstadt - Überarb\nbA PF Gleichwarme Echsen beide Abb 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igene Dateien AB\LP GYM\nbA\nbA nach Disk in Halberstadt - Überarb\nbA PF Gleichwarme Echsen beide Abb que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8790" t="16434" r="3313" b="9930"/>
                    <a:stretch/>
                  </pic:blipFill>
                  <pic:spPr bwMode="auto">
                    <a:xfrm rot="16200000">
                      <a:off x="0" y="0"/>
                      <a:ext cx="2247402" cy="6174434"/>
                    </a:xfrm>
                    <a:prstGeom prst="rect">
                      <a:avLst/>
                    </a:prstGeom>
                    <a:noFill/>
                    <a:ln>
                      <a:noFill/>
                    </a:ln>
                    <a:extLst>
                      <a:ext uri="{53640926-AAD7-44D8-BBD7-CCE9431645EC}">
                        <a14:shadowObscured xmlns:a14="http://schemas.microsoft.com/office/drawing/2010/main"/>
                      </a:ext>
                    </a:extLst>
                  </pic:spPr>
                </pic:pic>
              </a:graphicData>
            </a:graphic>
          </wp:inline>
        </w:drawing>
      </w:r>
    </w:p>
    <w:p w:rsidR="00E940BE" w:rsidRPr="008F5A9F" w:rsidRDefault="00E940BE" w:rsidP="00E940BE">
      <w:pPr>
        <w:tabs>
          <w:tab w:val="left" w:pos="708"/>
        </w:tabs>
        <w:suppressAutoHyphens/>
        <w:spacing w:after="0" w:line="360" w:lineRule="auto"/>
        <w:jc w:val="both"/>
        <w:rPr>
          <w:rFonts w:ascii="Arial" w:eastAsia="WenQuanYi Micro Hei" w:hAnsi="Arial" w:cs="Arial"/>
        </w:rPr>
      </w:pPr>
    </w:p>
    <w:p w:rsidR="00E940BE" w:rsidRPr="008F5A9F" w:rsidRDefault="00E940BE" w:rsidP="00E940BE">
      <w:pPr>
        <w:tabs>
          <w:tab w:val="left" w:pos="708"/>
        </w:tabs>
        <w:suppressAutoHyphens/>
        <w:spacing w:after="0" w:line="240" w:lineRule="auto"/>
        <w:rPr>
          <w:rFonts w:ascii="Arial" w:eastAsia="WenQuanYi Micro Hei" w:hAnsi="Arial" w:cs="Arial"/>
          <w:sz w:val="20"/>
          <w:szCs w:val="20"/>
        </w:rPr>
      </w:pPr>
      <w:proofErr w:type="spellStart"/>
      <w:r w:rsidRPr="008F5A9F">
        <w:rPr>
          <w:rFonts w:ascii="Arial" w:eastAsia="WenQuanYi Micro Hei" w:hAnsi="Arial" w:cs="Arial"/>
          <w:sz w:val="20"/>
          <w:szCs w:val="20"/>
          <w:lang w:val="en-US"/>
        </w:rPr>
        <w:t>Nach</w:t>
      </w:r>
      <w:proofErr w:type="spellEnd"/>
      <w:r w:rsidRPr="008F5A9F">
        <w:rPr>
          <w:rFonts w:ascii="Arial" w:eastAsia="WenQuanYi Micro Hei" w:hAnsi="Arial" w:cs="Arial"/>
          <w:sz w:val="20"/>
          <w:szCs w:val="20"/>
          <w:lang w:val="en-US"/>
        </w:rPr>
        <w:t xml:space="preserve">: Tattersall, G. J. u. a.: Seasonal reproductive </w:t>
      </w:r>
      <w:proofErr w:type="spellStart"/>
      <w:r w:rsidRPr="008F5A9F">
        <w:rPr>
          <w:rFonts w:ascii="Arial" w:eastAsia="WenQuanYi Micro Hei" w:hAnsi="Arial" w:cs="Arial"/>
          <w:sz w:val="20"/>
          <w:szCs w:val="20"/>
          <w:lang w:val="en-US"/>
        </w:rPr>
        <w:t>endothermy</w:t>
      </w:r>
      <w:proofErr w:type="spellEnd"/>
      <w:r w:rsidRPr="008F5A9F">
        <w:rPr>
          <w:rFonts w:ascii="Arial" w:eastAsia="WenQuanYi Micro Hei" w:hAnsi="Arial" w:cs="Arial"/>
          <w:sz w:val="20"/>
          <w:szCs w:val="20"/>
          <w:lang w:val="en-US"/>
        </w:rPr>
        <w:t xml:space="preserve"> in tegu lizards. </w:t>
      </w:r>
      <w:r w:rsidRPr="008F5A9F">
        <w:rPr>
          <w:rFonts w:ascii="Arial" w:eastAsia="WenQuanYi Micro Hei" w:hAnsi="Arial" w:cs="Arial"/>
          <w:sz w:val="20"/>
          <w:szCs w:val="20"/>
        </w:rPr>
        <w:t xml:space="preserve">In: </w:t>
      </w:r>
      <w:hyperlink r:id="rId6" w:history="1">
        <w:r w:rsidRPr="008F5A9F">
          <w:rPr>
            <w:rFonts w:ascii="Arial" w:eastAsia="WenQuanYi Micro Hei" w:hAnsi="Arial" w:cs="Arial"/>
            <w:color w:val="0000FF"/>
            <w:sz w:val="20"/>
            <w:szCs w:val="20"/>
            <w:u w:val="single"/>
          </w:rPr>
          <w:t>http://advances.sciencemag.org/content/advances/2/1/e1500951.full.pdf</w:t>
        </w:r>
      </w:hyperlink>
      <w:r w:rsidRPr="008F5A9F">
        <w:rPr>
          <w:rFonts w:ascii="Arial" w:eastAsia="WenQuanYi Micro Hei" w:hAnsi="Arial" w:cs="Arial"/>
          <w:sz w:val="20"/>
          <w:szCs w:val="20"/>
        </w:rPr>
        <w:t xml:space="preserve"> (21.07.2016)</w:t>
      </w:r>
    </w:p>
    <w:p w:rsidR="00E940BE" w:rsidRPr="008F5A9F" w:rsidRDefault="00E940BE" w:rsidP="00E940BE">
      <w:pPr>
        <w:spacing w:after="200" w:line="276" w:lineRule="auto"/>
        <w:rPr>
          <w:rFonts w:ascii="Arial" w:eastAsia="WenQuanYi Micro Hei" w:hAnsi="Arial" w:cs="Arial"/>
          <w:b/>
        </w:rPr>
      </w:pPr>
      <w:r w:rsidRPr="008F5A9F">
        <w:rPr>
          <w:rFonts w:ascii="Arial" w:eastAsia="WenQuanYi Micro Hei" w:hAnsi="Arial" w:cs="Arial"/>
          <w:b/>
        </w:rPr>
        <w:br w:type="page"/>
      </w:r>
    </w:p>
    <w:p w:rsidR="00E940BE" w:rsidRPr="008F5A9F" w:rsidRDefault="00E940BE" w:rsidP="00E940BE">
      <w:pPr>
        <w:tabs>
          <w:tab w:val="left" w:pos="708"/>
        </w:tabs>
        <w:suppressAutoHyphens/>
        <w:spacing w:after="0" w:line="360" w:lineRule="auto"/>
        <w:jc w:val="both"/>
        <w:rPr>
          <w:rFonts w:ascii="Arial" w:eastAsia="WenQuanYi Micro Hei" w:hAnsi="Arial" w:cs="Arial"/>
          <w:b/>
        </w:rPr>
      </w:pPr>
      <w:r w:rsidRPr="008F5A9F">
        <w:rPr>
          <w:rFonts w:ascii="Arial" w:eastAsia="WenQuanYi Micro Hei" w:hAnsi="Arial" w:cs="Arial"/>
          <w:b/>
        </w:rPr>
        <w:t xml:space="preserve">Material 3: Untersuchungsergebnisse zum Stoffwechsel des Schwarzweißen </w:t>
      </w:r>
      <w:proofErr w:type="spellStart"/>
      <w:r w:rsidRPr="008F5A9F">
        <w:rPr>
          <w:rFonts w:ascii="Arial" w:eastAsia="WenQuanYi Micro Hei" w:hAnsi="Arial" w:cs="Arial"/>
          <w:b/>
        </w:rPr>
        <w:t>Tejus</w:t>
      </w:r>
      <w:proofErr w:type="spellEnd"/>
    </w:p>
    <w:p w:rsidR="00E940BE" w:rsidRPr="008F5A9F" w:rsidRDefault="00E940BE" w:rsidP="00E940BE">
      <w:pPr>
        <w:tabs>
          <w:tab w:val="left" w:pos="708"/>
        </w:tabs>
        <w:suppressAutoHyphens/>
        <w:spacing w:after="0" w:line="360" w:lineRule="auto"/>
        <w:jc w:val="both"/>
        <w:rPr>
          <w:rFonts w:ascii="Arial" w:eastAsia="WenQuanYi Micro Hei" w:hAnsi="Arial" w:cs="Arial"/>
        </w:rPr>
      </w:pPr>
      <w:r w:rsidRPr="008F5A9F">
        <w:rPr>
          <w:rFonts w:ascii="Arial" w:eastAsia="WenQuanYi Micro Hei" w:hAnsi="Arial" w:cs="Arial"/>
          <w:noProof/>
          <w:lang w:eastAsia="de-DE"/>
        </w:rPr>
        <w:drawing>
          <wp:inline distT="0" distB="0" distL="0" distR="0" wp14:anchorId="25D910DC" wp14:editId="13687DBA">
            <wp:extent cx="5571810" cy="1874017"/>
            <wp:effectExtent l="0" t="0" r="0" b="0"/>
            <wp:docPr id="4" name="Grafik 4" descr="nbA PF Gleichwarme Echsen beide 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A PF Gleichwarme Echsen beide Abb"/>
                    <pic:cNvPicPr>
                      <a:picLocks noChangeAspect="1" noChangeArrowheads="1"/>
                    </pic:cNvPicPr>
                  </pic:nvPicPr>
                  <pic:blipFill>
                    <a:blip r:embed="rId7" cstate="print">
                      <a:extLst>
                        <a:ext uri="{28A0092B-C50C-407E-A947-70E740481C1C}">
                          <a14:useLocalDpi xmlns:a14="http://schemas.microsoft.com/office/drawing/2010/main" val="0"/>
                        </a:ext>
                      </a:extLst>
                    </a:blip>
                    <a:srcRect l="16083" t="52498" r="36855" b="20937"/>
                    <a:stretch>
                      <a:fillRect/>
                    </a:stretch>
                  </pic:blipFill>
                  <pic:spPr bwMode="auto">
                    <a:xfrm>
                      <a:off x="0" y="0"/>
                      <a:ext cx="5598117" cy="1882865"/>
                    </a:xfrm>
                    <a:prstGeom prst="rect">
                      <a:avLst/>
                    </a:prstGeom>
                    <a:noFill/>
                    <a:ln>
                      <a:noFill/>
                    </a:ln>
                  </pic:spPr>
                </pic:pic>
              </a:graphicData>
            </a:graphic>
          </wp:inline>
        </w:drawing>
      </w:r>
    </w:p>
    <w:p w:rsidR="00E940BE" w:rsidRPr="008F5A9F" w:rsidRDefault="00E940BE" w:rsidP="00E940BE">
      <w:pPr>
        <w:tabs>
          <w:tab w:val="left" w:pos="708"/>
        </w:tabs>
        <w:suppressAutoHyphens/>
        <w:spacing w:after="0" w:line="360" w:lineRule="auto"/>
        <w:jc w:val="both"/>
        <w:rPr>
          <w:rFonts w:ascii="Arial" w:eastAsia="WenQuanYi Micro Hei" w:hAnsi="Arial" w:cs="Arial"/>
          <w:sz w:val="18"/>
          <w:szCs w:val="18"/>
        </w:rPr>
      </w:pPr>
    </w:p>
    <w:p w:rsidR="00E940BE" w:rsidRPr="008F5A9F" w:rsidRDefault="00E940BE" w:rsidP="00E940BE">
      <w:pPr>
        <w:tabs>
          <w:tab w:val="left" w:pos="708"/>
        </w:tabs>
        <w:suppressAutoHyphens/>
        <w:spacing w:after="0" w:line="240" w:lineRule="auto"/>
        <w:rPr>
          <w:rFonts w:ascii="Arial" w:eastAsia="WenQuanYi Micro Hei" w:hAnsi="Arial" w:cs="Arial"/>
          <w:sz w:val="20"/>
          <w:szCs w:val="20"/>
        </w:rPr>
      </w:pPr>
      <w:proofErr w:type="spellStart"/>
      <w:r w:rsidRPr="008F5A9F">
        <w:rPr>
          <w:rFonts w:ascii="Arial" w:eastAsia="WenQuanYi Micro Hei" w:hAnsi="Arial" w:cs="Arial"/>
          <w:sz w:val="20"/>
          <w:szCs w:val="20"/>
          <w:lang w:val="en-US"/>
        </w:rPr>
        <w:t>Nach</w:t>
      </w:r>
      <w:proofErr w:type="spellEnd"/>
      <w:r w:rsidRPr="008F5A9F">
        <w:rPr>
          <w:rFonts w:ascii="Arial" w:eastAsia="WenQuanYi Micro Hei" w:hAnsi="Arial" w:cs="Arial"/>
          <w:sz w:val="20"/>
          <w:szCs w:val="20"/>
          <w:lang w:val="en-US"/>
        </w:rPr>
        <w:t xml:space="preserve">: Tattersall, G. J. u. a.: Seasonal reproductive </w:t>
      </w:r>
      <w:proofErr w:type="spellStart"/>
      <w:r w:rsidRPr="008F5A9F">
        <w:rPr>
          <w:rFonts w:ascii="Arial" w:eastAsia="WenQuanYi Micro Hei" w:hAnsi="Arial" w:cs="Arial"/>
          <w:sz w:val="20"/>
          <w:szCs w:val="20"/>
          <w:lang w:val="en-US"/>
        </w:rPr>
        <w:t>endothermy</w:t>
      </w:r>
      <w:proofErr w:type="spellEnd"/>
      <w:r w:rsidRPr="008F5A9F">
        <w:rPr>
          <w:rFonts w:ascii="Arial" w:eastAsia="WenQuanYi Micro Hei" w:hAnsi="Arial" w:cs="Arial"/>
          <w:sz w:val="20"/>
          <w:szCs w:val="20"/>
          <w:lang w:val="en-US"/>
        </w:rPr>
        <w:t xml:space="preserve"> in tegu lizards. </w:t>
      </w:r>
      <w:r w:rsidRPr="008F5A9F">
        <w:rPr>
          <w:rFonts w:ascii="Arial" w:eastAsia="WenQuanYi Micro Hei" w:hAnsi="Arial" w:cs="Arial"/>
          <w:sz w:val="20"/>
          <w:szCs w:val="20"/>
        </w:rPr>
        <w:t xml:space="preserve">In: </w:t>
      </w:r>
      <w:hyperlink r:id="rId8" w:history="1">
        <w:r w:rsidRPr="008F5A9F">
          <w:rPr>
            <w:rFonts w:ascii="Arial" w:eastAsia="WenQuanYi Micro Hei" w:hAnsi="Arial" w:cs="Arial"/>
            <w:color w:val="0000FF"/>
            <w:sz w:val="20"/>
            <w:szCs w:val="20"/>
            <w:u w:val="single"/>
          </w:rPr>
          <w:t>http://advances.sciencemag.org/content/advances/2/1/e1500951.full.pdf</w:t>
        </w:r>
      </w:hyperlink>
      <w:r w:rsidRPr="008F5A9F">
        <w:rPr>
          <w:rFonts w:ascii="Arial" w:eastAsia="WenQuanYi Micro Hei" w:hAnsi="Arial" w:cs="Arial"/>
          <w:sz w:val="20"/>
          <w:szCs w:val="20"/>
        </w:rPr>
        <w:t xml:space="preserve"> (21.07.2016)</w:t>
      </w:r>
    </w:p>
    <w:p w:rsidR="00E940BE" w:rsidRPr="008F5A9F" w:rsidRDefault="00E940BE" w:rsidP="00E940BE">
      <w:pPr>
        <w:tabs>
          <w:tab w:val="left" w:pos="708"/>
        </w:tabs>
        <w:suppressAutoHyphens/>
        <w:spacing w:after="0" w:line="360" w:lineRule="auto"/>
        <w:rPr>
          <w:rFonts w:ascii="Arial" w:eastAsia="WenQuanYi Micro Hei" w:hAnsi="Arial" w:cs="Arial"/>
        </w:rPr>
      </w:pPr>
    </w:p>
    <w:p w:rsidR="00E940BE" w:rsidRPr="008F5A9F" w:rsidRDefault="00E940BE" w:rsidP="00E940BE">
      <w:pPr>
        <w:tabs>
          <w:tab w:val="left" w:pos="708"/>
        </w:tabs>
        <w:suppressAutoHyphens/>
        <w:spacing w:after="0" w:line="360" w:lineRule="auto"/>
        <w:rPr>
          <w:rFonts w:ascii="Arial" w:eastAsia="WenQuanYi Micro Hei" w:hAnsi="Arial" w:cs="Arial"/>
        </w:rPr>
      </w:pPr>
    </w:p>
    <w:p w:rsidR="00E940BE" w:rsidRPr="008F5A9F" w:rsidRDefault="00E940BE" w:rsidP="00E940BE">
      <w:pPr>
        <w:tabs>
          <w:tab w:val="left" w:pos="708"/>
        </w:tabs>
        <w:suppressAutoHyphens/>
        <w:spacing w:after="0" w:line="360" w:lineRule="auto"/>
        <w:rPr>
          <w:rFonts w:ascii="Arial" w:eastAsia="WenQuanYi Micro Hei" w:hAnsi="Arial" w:cs="Arial"/>
        </w:rPr>
      </w:pPr>
      <w:r w:rsidRPr="008F5A9F">
        <w:rPr>
          <w:rFonts w:ascii="Arial" w:eastAsia="WenQuanYi Micro Hei" w:hAnsi="Arial" w:cs="Arial"/>
          <w:b/>
          <w:bCs/>
        </w:rPr>
        <w:t xml:space="preserve">Material 4: Hypothesen zur evolutiven Entstehung der </w:t>
      </w:r>
      <w:proofErr w:type="spellStart"/>
      <w:r w:rsidRPr="008F5A9F">
        <w:rPr>
          <w:rFonts w:ascii="Arial" w:eastAsia="WenQuanYi Micro Hei" w:hAnsi="Arial" w:cs="Arial"/>
          <w:b/>
          <w:bCs/>
        </w:rPr>
        <w:t>Endothermie</w:t>
      </w:r>
      <w:proofErr w:type="spellEnd"/>
    </w:p>
    <w:p w:rsidR="00E940BE" w:rsidRPr="008F5A9F" w:rsidRDefault="00E940BE" w:rsidP="00E940BE">
      <w:pPr>
        <w:tabs>
          <w:tab w:val="left" w:pos="708"/>
        </w:tabs>
        <w:suppressAutoHyphens/>
        <w:spacing w:after="0" w:line="360" w:lineRule="auto"/>
        <w:jc w:val="both"/>
        <w:rPr>
          <w:rFonts w:ascii="Arial" w:eastAsia="WenQuanYi Micro Hei" w:hAnsi="Arial" w:cs="Arial"/>
        </w:rPr>
      </w:pPr>
      <w:r w:rsidRPr="008F5A9F">
        <w:rPr>
          <w:rFonts w:ascii="Arial" w:eastAsia="WenQuanYi Micro Hei" w:hAnsi="Arial" w:cs="Arial"/>
        </w:rPr>
        <w:t>Die</w:t>
      </w:r>
      <w:r w:rsidRPr="008F5A9F">
        <w:rPr>
          <w:rFonts w:ascii="Arial" w:eastAsia="WenQuanYi Micro Hei" w:hAnsi="Arial" w:cs="Arial"/>
          <w:b/>
        </w:rPr>
        <w:t xml:space="preserve"> </w:t>
      </w:r>
      <w:r w:rsidRPr="008F5A9F">
        <w:rPr>
          <w:rFonts w:ascii="Arial" w:eastAsia="WenQuanYi Micro Hei" w:hAnsi="Arial" w:cs="Arial"/>
          <w:spacing w:val="40"/>
        </w:rPr>
        <w:t>Thermoregulations-Hypothese</w:t>
      </w:r>
      <w:r w:rsidRPr="008F5A9F">
        <w:rPr>
          <w:rFonts w:ascii="Arial" w:eastAsia="WenQuanYi Micro Hei" w:hAnsi="Arial" w:cs="Arial"/>
          <w:b/>
        </w:rPr>
        <w:t xml:space="preserve"> </w:t>
      </w:r>
      <w:r w:rsidRPr="008F5A9F">
        <w:rPr>
          <w:rFonts w:ascii="Arial" w:eastAsia="WenQuanYi Micro Hei" w:hAnsi="Arial" w:cs="Arial"/>
        </w:rPr>
        <w:t xml:space="preserve">geht davon aus, dass die </w:t>
      </w:r>
      <w:proofErr w:type="spellStart"/>
      <w:r w:rsidRPr="008F5A9F">
        <w:rPr>
          <w:rFonts w:ascii="Arial" w:eastAsia="WenQuanYi Micro Hei" w:hAnsi="Arial" w:cs="Arial"/>
        </w:rPr>
        <w:t>Endothermie</w:t>
      </w:r>
      <w:proofErr w:type="spellEnd"/>
      <w:r w:rsidRPr="008F5A9F">
        <w:rPr>
          <w:rFonts w:ascii="Arial" w:eastAsia="WenQuanYi Micro Hei" w:hAnsi="Arial" w:cs="Arial"/>
        </w:rPr>
        <w:t xml:space="preserve"> bei Vögeln und Säugetieren als Thermoregulationsmechanismus an sich entstanden ist und dass die natürliche Auslese direkt zu einer erhöhten und stabilen Körpertemperatur durch Intensivierung des Grundstoffwechsels geführt hat. Der Selektionsvorteil hätte damit beispielsweise in einer Ausweitung der ökologischen Nische hinsichtlich des Temperaturfaktors bestanden. Dagegen betrachtet die </w:t>
      </w:r>
      <w:r w:rsidRPr="008F5A9F">
        <w:rPr>
          <w:rFonts w:ascii="Arial" w:eastAsia="WenQuanYi Micro Hei" w:hAnsi="Arial" w:cs="Arial"/>
          <w:spacing w:val="40"/>
        </w:rPr>
        <w:t>Sauerstoffkapazitäts-Hyp</w:t>
      </w:r>
      <w:bookmarkStart w:id="0" w:name="_GoBack"/>
      <w:bookmarkEnd w:id="0"/>
      <w:r w:rsidRPr="008F5A9F">
        <w:rPr>
          <w:rFonts w:ascii="Arial" w:eastAsia="WenQuanYi Micro Hei" w:hAnsi="Arial" w:cs="Arial"/>
          <w:spacing w:val="40"/>
        </w:rPr>
        <w:t>othese</w:t>
      </w:r>
      <w:r w:rsidRPr="008F5A9F">
        <w:rPr>
          <w:rFonts w:ascii="Arial" w:eastAsia="WenQuanYi Micro Hei" w:hAnsi="Arial" w:cs="Arial"/>
        </w:rPr>
        <w:t xml:space="preserve"> die gleichwarme Körpertemperatur als Nebenprodukt einer Verbesserung der Sauerstoffaufnahme und des Sauerstofftransports im Organismus. Demzufolge hätten sich diese Merkmale im Zusammenhang mit der Selektion in Richtung einer gestiegenen Fortbewegungsfähigkeit und -aktivität herausgebildet. Schließlich beruht die </w:t>
      </w:r>
      <w:r w:rsidRPr="008F5A9F">
        <w:rPr>
          <w:rFonts w:ascii="Arial" w:eastAsia="WenQuanYi Micro Hei" w:hAnsi="Arial" w:cs="Arial"/>
          <w:spacing w:val="40"/>
        </w:rPr>
        <w:t xml:space="preserve">Brutpflege-Hypothese </w:t>
      </w:r>
      <w:r w:rsidRPr="008F5A9F">
        <w:rPr>
          <w:rFonts w:ascii="Arial" w:eastAsia="WenQuanYi Micro Hei" w:hAnsi="Arial" w:cs="Arial"/>
        </w:rPr>
        <w:t xml:space="preserve">auf der Annahme, dass sich </w:t>
      </w:r>
      <w:proofErr w:type="spellStart"/>
      <w:r w:rsidRPr="008F5A9F">
        <w:rPr>
          <w:rFonts w:ascii="Arial" w:eastAsia="WenQuanYi Micro Hei" w:hAnsi="Arial" w:cs="Arial"/>
        </w:rPr>
        <w:t>Endothermie</w:t>
      </w:r>
      <w:proofErr w:type="spellEnd"/>
      <w:r w:rsidRPr="008F5A9F">
        <w:rPr>
          <w:rFonts w:ascii="Arial" w:eastAsia="WenQuanYi Micro Hei" w:hAnsi="Arial" w:cs="Arial"/>
        </w:rPr>
        <w:t xml:space="preserve"> über einen Anstieg der Körpertemperatur während der Brutzeit durchgesetzt hat, der dann über den Zeitpunkt des Schlüpfens hinaus verlängert und beibehalten wurde.</w:t>
      </w:r>
    </w:p>
    <w:p w:rsidR="00E940BE" w:rsidRPr="008F5A9F" w:rsidRDefault="00E940BE" w:rsidP="00E940BE">
      <w:pPr>
        <w:tabs>
          <w:tab w:val="left" w:pos="708"/>
        </w:tabs>
        <w:suppressAutoHyphens/>
        <w:spacing w:after="0" w:line="240" w:lineRule="auto"/>
        <w:jc w:val="both"/>
        <w:rPr>
          <w:rFonts w:ascii="Arial" w:eastAsia="WenQuanYi Micro Hei" w:hAnsi="Arial" w:cs="Arial"/>
          <w:bCs/>
          <w:sz w:val="20"/>
          <w:szCs w:val="20"/>
        </w:rPr>
      </w:pPr>
    </w:p>
    <w:p w:rsidR="00E940BE" w:rsidRPr="008F5A9F" w:rsidRDefault="00E940BE" w:rsidP="00E940BE">
      <w:pPr>
        <w:tabs>
          <w:tab w:val="left" w:pos="708"/>
        </w:tabs>
        <w:suppressAutoHyphens/>
        <w:spacing w:after="0" w:line="240" w:lineRule="auto"/>
        <w:jc w:val="both"/>
        <w:rPr>
          <w:rFonts w:ascii="Arial" w:eastAsia="WenQuanYi Micro Hei" w:hAnsi="Arial" w:cs="Arial"/>
          <w:sz w:val="20"/>
          <w:szCs w:val="20"/>
          <w:lang w:val="en-US"/>
        </w:rPr>
      </w:pPr>
      <w:proofErr w:type="spellStart"/>
      <w:r w:rsidRPr="008F5A9F">
        <w:rPr>
          <w:rFonts w:ascii="Arial" w:eastAsia="WenQuanYi Micro Hei" w:hAnsi="Arial" w:cs="Arial"/>
          <w:bCs/>
          <w:sz w:val="20"/>
          <w:szCs w:val="20"/>
          <w:lang w:val="en-US"/>
        </w:rPr>
        <w:t>Nach</w:t>
      </w:r>
      <w:proofErr w:type="spellEnd"/>
      <w:r w:rsidRPr="008F5A9F">
        <w:rPr>
          <w:rFonts w:ascii="Arial" w:eastAsia="WenQuanYi Micro Hei" w:hAnsi="Arial" w:cs="Arial"/>
          <w:bCs/>
          <w:sz w:val="20"/>
          <w:szCs w:val="20"/>
          <w:lang w:val="en-US"/>
        </w:rPr>
        <w:t xml:space="preserve">: </w:t>
      </w:r>
      <w:proofErr w:type="spellStart"/>
      <w:r w:rsidRPr="008F5A9F">
        <w:rPr>
          <w:rFonts w:ascii="Arial" w:eastAsia="WenQuanYi Micro Hei" w:hAnsi="Arial" w:cs="Arial"/>
          <w:bCs/>
          <w:sz w:val="20"/>
          <w:szCs w:val="20"/>
          <w:lang w:val="en-US"/>
        </w:rPr>
        <w:t>Koteja</w:t>
      </w:r>
      <w:proofErr w:type="spellEnd"/>
      <w:r w:rsidRPr="008F5A9F">
        <w:rPr>
          <w:rFonts w:ascii="Arial" w:eastAsia="WenQuanYi Micro Hei" w:hAnsi="Arial" w:cs="Arial"/>
          <w:bCs/>
          <w:sz w:val="20"/>
          <w:szCs w:val="20"/>
          <w:lang w:val="en-US"/>
        </w:rPr>
        <w:t xml:space="preserve">, P.: Energy assimilation, parental care, and the evolution of </w:t>
      </w:r>
      <w:proofErr w:type="spellStart"/>
      <w:r w:rsidRPr="008F5A9F">
        <w:rPr>
          <w:rFonts w:ascii="Arial" w:eastAsia="WenQuanYi Micro Hei" w:hAnsi="Arial" w:cs="Arial"/>
          <w:bCs/>
          <w:sz w:val="20"/>
          <w:szCs w:val="20"/>
          <w:lang w:val="en-US"/>
        </w:rPr>
        <w:t>entdothermie</w:t>
      </w:r>
      <w:proofErr w:type="spellEnd"/>
      <w:r w:rsidRPr="008F5A9F">
        <w:rPr>
          <w:rFonts w:ascii="Arial" w:eastAsia="WenQuanYi Micro Hei" w:hAnsi="Arial" w:cs="Arial"/>
          <w:bCs/>
          <w:sz w:val="20"/>
          <w:szCs w:val="20"/>
          <w:lang w:val="en-US"/>
        </w:rPr>
        <w:t xml:space="preserve">, </w:t>
      </w:r>
      <w:proofErr w:type="spellStart"/>
      <w:r w:rsidRPr="008F5A9F">
        <w:rPr>
          <w:rFonts w:ascii="Arial" w:eastAsia="WenQuanYi Micro Hei" w:hAnsi="Arial" w:cs="Arial"/>
          <w:bCs/>
          <w:sz w:val="20"/>
          <w:szCs w:val="20"/>
          <w:lang w:val="en-US"/>
        </w:rPr>
        <w:t>ProcRSocB</w:t>
      </w:r>
      <w:proofErr w:type="spellEnd"/>
      <w:r w:rsidRPr="008F5A9F">
        <w:rPr>
          <w:rFonts w:ascii="Arial" w:eastAsia="WenQuanYi Micro Hei" w:hAnsi="Arial" w:cs="Arial"/>
          <w:bCs/>
          <w:sz w:val="20"/>
          <w:szCs w:val="20"/>
          <w:lang w:val="en-US"/>
        </w:rPr>
        <w:t xml:space="preserve"> 267: 479-484. In: </w:t>
      </w:r>
      <w:hyperlink r:id="rId9" w:history="1">
        <w:r w:rsidRPr="008F5A9F">
          <w:rPr>
            <w:rFonts w:ascii="Arial" w:eastAsia="WenQuanYi Micro Hei" w:hAnsi="Arial" w:cs="Arial"/>
            <w:bCs/>
            <w:color w:val="0000FF"/>
            <w:sz w:val="20"/>
            <w:szCs w:val="20"/>
            <w:u w:val="single"/>
            <w:lang w:val="en-US"/>
          </w:rPr>
          <w:t>www.researchgate.net/publication/12579659</w:t>
        </w:r>
      </w:hyperlink>
      <w:r w:rsidRPr="008F5A9F">
        <w:rPr>
          <w:rFonts w:ascii="Arial" w:eastAsia="WenQuanYi Micro Hei" w:hAnsi="Arial" w:cs="Arial"/>
          <w:bCs/>
          <w:sz w:val="20"/>
          <w:szCs w:val="20"/>
          <w:lang w:val="en-US"/>
        </w:rPr>
        <w:t xml:space="preserve"> (21.07.2016)</w:t>
      </w:r>
    </w:p>
    <w:p w:rsidR="00E940BE" w:rsidRPr="008F5A9F" w:rsidRDefault="00E940BE" w:rsidP="00E940BE">
      <w:pPr>
        <w:tabs>
          <w:tab w:val="left" w:pos="708"/>
        </w:tabs>
        <w:suppressAutoHyphens/>
        <w:spacing w:after="0" w:line="360" w:lineRule="auto"/>
        <w:jc w:val="both"/>
        <w:rPr>
          <w:rFonts w:ascii="Arial" w:eastAsia="WenQuanYi Micro Hei" w:hAnsi="Arial" w:cs="Arial"/>
          <w:lang w:val="en-US"/>
        </w:rPr>
      </w:pPr>
    </w:p>
    <w:p w:rsidR="00E940BE" w:rsidRPr="008F5A9F" w:rsidRDefault="00E940BE" w:rsidP="00E940BE">
      <w:pPr>
        <w:tabs>
          <w:tab w:val="left" w:pos="708"/>
        </w:tabs>
        <w:suppressAutoHyphens/>
        <w:spacing w:after="0" w:line="360" w:lineRule="auto"/>
        <w:jc w:val="both"/>
        <w:rPr>
          <w:rFonts w:ascii="Arial" w:eastAsia="WenQuanYi Micro Hei" w:hAnsi="Arial" w:cs="Arial"/>
          <w:lang w:val="en-US"/>
        </w:rPr>
      </w:pPr>
    </w:p>
    <w:p w:rsidR="00E940BE" w:rsidRPr="008F5A9F" w:rsidRDefault="00E940BE" w:rsidP="00E940BE">
      <w:pPr>
        <w:spacing w:after="200" w:line="276" w:lineRule="auto"/>
        <w:rPr>
          <w:rFonts w:ascii="Arial" w:eastAsia="Times New Roman" w:hAnsi="Arial" w:cs="Arial"/>
          <w:b/>
          <w:color w:val="000000"/>
          <w:sz w:val="24"/>
          <w:szCs w:val="24"/>
          <w:lang w:val="en-US" w:bidi="en-US"/>
        </w:rPr>
      </w:pPr>
      <w:r w:rsidRPr="008F5A9F">
        <w:rPr>
          <w:rFonts w:ascii="Arial" w:eastAsia="Times New Roman" w:hAnsi="Arial" w:cs="Arial"/>
          <w:b/>
          <w:color w:val="000000"/>
          <w:sz w:val="24"/>
          <w:szCs w:val="24"/>
          <w:lang w:val="en-US" w:bidi="en-US"/>
        </w:rPr>
        <w:br w:type="page"/>
      </w:r>
    </w:p>
    <w:p w:rsidR="00E940BE" w:rsidRPr="008F5A9F" w:rsidRDefault="00E940BE" w:rsidP="00E940BE">
      <w:pPr>
        <w:spacing w:after="0" w:line="360" w:lineRule="auto"/>
        <w:rPr>
          <w:rFonts w:ascii="Arial" w:eastAsia="Times New Roman" w:hAnsi="Arial" w:cs="Arial"/>
          <w:b/>
          <w:color w:val="000000"/>
          <w:sz w:val="24"/>
          <w:szCs w:val="24"/>
          <w:lang w:bidi="en-US"/>
        </w:rPr>
      </w:pPr>
      <w:r w:rsidRPr="008F5A9F">
        <w:rPr>
          <w:rFonts w:ascii="Arial" w:eastAsia="Times New Roman" w:hAnsi="Arial" w:cs="Arial"/>
          <w:b/>
          <w:color w:val="000000"/>
          <w:sz w:val="24"/>
          <w:szCs w:val="24"/>
          <w:lang w:bidi="en-US"/>
        </w:rPr>
        <w:t>Einordnung in den Fachlehrplan Gymnasium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854"/>
      </w:tblGrid>
      <w:tr w:rsidR="00E940BE" w:rsidRPr="008F5A9F" w:rsidTr="00D437B3">
        <w:tc>
          <w:tcPr>
            <w:tcW w:w="9854" w:type="dxa"/>
          </w:tcPr>
          <w:p w:rsidR="00E940BE" w:rsidRPr="008F5A9F" w:rsidRDefault="00E940BE" w:rsidP="00E940BE">
            <w:pPr>
              <w:spacing w:after="0" w:line="360" w:lineRule="auto"/>
              <w:rPr>
                <w:rFonts w:ascii="Arial" w:eastAsia="Times New Roman" w:hAnsi="Arial" w:cs="Arial"/>
                <w:color w:val="000000"/>
                <w:szCs w:val="20"/>
                <w:u w:val="single"/>
                <w:lang w:bidi="en-US"/>
              </w:rPr>
            </w:pPr>
            <w:r w:rsidRPr="008F5A9F">
              <w:rPr>
                <w:rFonts w:ascii="Arial" w:eastAsia="Times New Roman" w:hAnsi="Arial" w:cs="Arial"/>
                <w:color w:val="000000"/>
                <w:szCs w:val="20"/>
                <w:u w:val="single"/>
                <w:lang w:bidi="en-US"/>
              </w:rPr>
              <w:t>Kompetenzschwerpunkt:</w:t>
            </w:r>
          </w:p>
          <w:p w:rsidR="00E940BE" w:rsidRPr="008F5A9F" w:rsidRDefault="00E940BE" w:rsidP="00E940BE">
            <w:pPr>
              <w:spacing w:after="0" w:line="360" w:lineRule="auto"/>
              <w:rPr>
                <w:rFonts w:ascii="Arial" w:eastAsia="Times New Roman" w:hAnsi="Arial" w:cs="Arial"/>
                <w:color w:val="000000"/>
                <w:szCs w:val="20"/>
                <w:lang w:bidi="en-US"/>
              </w:rPr>
            </w:pPr>
            <w:r w:rsidRPr="008F5A9F">
              <w:rPr>
                <w:rFonts w:ascii="Arial" w:eastAsia="WenQuanYi Micro Hei" w:hAnsi="Arial" w:cs="Arial"/>
              </w:rPr>
              <w:t>Von der Entstehung des Lebens bis zur Biodiversität – Geschichte und Verwandtschaft der Organismen erläutern</w:t>
            </w:r>
          </w:p>
        </w:tc>
      </w:tr>
      <w:tr w:rsidR="00E940BE" w:rsidRPr="008F5A9F" w:rsidTr="00D437B3">
        <w:tc>
          <w:tcPr>
            <w:tcW w:w="9854" w:type="dxa"/>
          </w:tcPr>
          <w:p w:rsidR="00E940BE" w:rsidRPr="008F5A9F" w:rsidRDefault="00E940BE" w:rsidP="00E940BE">
            <w:pPr>
              <w:spacing w:after="0" w:line="360" w:lineRule="auto"/>
              <w:rPr>
                <w:rFonts w:ascii="Arial" w:eastAsia="Times New Roman" w:hAnsi="Arial" w:cs="Arial"/>
                <w:color w:val="000000"/>
                <w:szCs w:val="20"/>
                <w:u w:val="single"/>
                <w:lang w:bidi="en-US"/>
              </w:rPr>
            </w:pPr>
            <w:r w:rsidRPr="008F5A9F">
              <w:rPr>
                <w:rFonts w:ascii="Arial" w:eastAsia="Times New Roman" w:hAnsi="Arial" w:cs="Arial"/>
                <w:color w:val="000000"/>
                <w:szCs w:val="20"/>
                <w:u w:val="single"/>
                <w:lang w:bidi="en-US"/>
              </w:rPr>
              <w:t>zu entwickelnde bzw. zu überprüfende Kompetenzen:</w:t>
            </w:r>
          </w:p>
          <w:p w:rsidR="00E940BE" w:rsidRPr="008F5A9F" w:rsidRDefault="00E940BE" w:rsidP="00E940BE">
            <w:pPr>
              <w:spacing w:after="0" w:line="360" w:lineRule="auto"/>
              <w:ind w:left="357" w:hanging="357"/>
              <w:rPr>
                <w:rFonts w:ascii="Arial" w:eastAsia="Times New Roman" w:hAnsi="Arial" w:cs="Arial"/>
                <w:szCs w:val="24"/>
                <w:lang w:eastAsia="de-DE" w:bidi="en-US"/>
              </w:rPr>
            </w:pPr>
            <w:r w:rsidRPr="008F5A9F">
              <w:rPr>
                <w:rFonts w:ascii="Arial" w:eastAsia="Times New Roman" w:hAnsi="Arial" w:cs="Arial"/>
                <w:szCs w:val="24"/>
                <w:lang w:eastAsia="de-DE" w:bidi="en-US"/>
              </w:rPr>
              <w:t xml:space="preserve">Basiskonzept „Geschichte und Verwandtschaft“ auf die stammesgeschichtliche Entstehung der </w:t>
            </w:r>
            <w:proofErr w:type="spellStart"/>
            <w:r w:rsidRPr="008F5A9F">
              <w:rPr>
                <w:rFonts w:ascii="Arial" w:eastAsia="Times New Roman" w:hAnsi="Arial" w:cs="Arial"/>
                <w:szCs w:val="24"/>
                <w:lang w:eastAsia="de-DE" w:bidi="en-US"/>
              </w:rPr>
              <w:t>Homöothermie</w:t>
            </w:r>
            <w:proofErr w:type="spellEnd"/>
            <w:r w:rsidRPr="008F5A9F">
              <w:rPr>
                <w:rFonts w:ascii="Arial" w:eastAsia="Times New Roman" w:hAnsi="Arial" w:cs="Arial"/>
                <w:szCs w:val="24"/>
                <w:lang w:eastAsia="de-DE" w:bidi="en-US"/>
              </w:rPr>
              <w:t xml:space="preserve"> anwenden</w:t>
            </w:r>
          </w:p>
          <w:p w:rsidR="00E940BE" w:rsidRPr="008F5A9F" w:rsidRDefault="00E940BE" w:rsidP="00E940BE">
            <w:pPr>
              <w:spacing w:after="0" w:line="360" w:lineRule="auto"/>
              <w:ind w:left="357" w:hanging="357"/>
              <w:rPr>
                <w:rFonts w:ascii="Arial" w:eastAsia="WenQuanYi Micro Hei" w:hAnsi="Arial" w:cs="Arial"/>
                <w:szCs w:val="24"/>
                <w:lang w:eastAsia="de-DE"/>
              </w:rPr>
            </w:pPr>
            <w:r w:rsidRPr="008F5A9F">
              <w:rPr>
                <w:rFonts w:ascii="Arial" w:eastAsia="WenQuanYi Micro Hei" w:hAnsi="Arial" w:cs="Arial"/>
                <w:szCs w:val="24"/>
                <w:lang w:eastAsia="de-DE"/>
              </w:rPr>
              <w:t>die Gesamtfitness der Individuen im Zusammenhang mit der Individualselektion und Verwandtenselektion erläutern (</w:t>
            </w:r>
            <w:proofErr w:type="spellStart"/>
            <w:r w:rsidRPr="008F5A9F">
              <w:rPr>
                <w:rFonts w:ascii="Arial" w:eastAsia="WenQuanYi Micro Hei" w:hAnsi="Arial" w:cs="Arial"/>
                <w:szCs w:val="24"/>
                <w:lang w:eastAsia="de-DE"/>
              </w:rPr>
              <w:t>ultimate</w:t>
            </w:r>
            <w:proofErr w:type="spellEnd"/>
            <w:r w:rsidRPr="008F5A9F">
              <w:rPr>
                <w:rFonts w:ascii="Arial" w:eastAsia="WenQuanYi Micro Hei" w:hAnsi="Arial" w:cs="Arial"/>
                <w:szCs w:val="24"/>
                <w:lang w:eastAsia="de-DE"/>
              </w:rPr>
              <w:t xml:space="preserve"> Betrachtungsebene) </w:t>
            </w:r>
          </w:p>
          <w:p w:rsidR="00E940BE" w:rsidRPr="008F5A9F" w:rsidRDefault="00E940BE" w:rsidP="00E940BE">
            <w:pPr>
              <w:spacing w:after="0" w:line="360" w:lineRule="auto"/>
              <w:ind w:left="357" w:hanging="357"/>
              <w:rPr>
                <w:rFonts w:ascii="Arial" w:eastAsia="WenQuanYi Micro Hei" w:hAnsi="Arial" w:cs="Arial"/>
                <w:szCs w:val="24"/>
                <w:lang w:eastAsia="de-DE"/>
              </w:rPr>
            </w:pPr>
            <w:r w:rsidRPr="008F5A9F">
              <w:rPr>
                <w:rFonts w:ascii="Arial" w:eastAsia="WenQuanYi Micro Hei" w:hAnsi="Arial" w:cs="Arial"/>
                <w:szCs w:val="24"/>
                <w:lang w:eastAsia="de-DE"/>
              </w:rPr>
              <w:t>Umweltfaktoren als Selektionsfaktoren deuten</w:t>
            </w:r>
          </w:p>
          <w:p w:rsidR="00E940BE" w:rsidRPr="008F5A9F" w:rsidRDefault="00E940BE" w:rsidP="00E940BE">
            <w:pPr>
              <w:spacing w:after="0" w:line="360" w:lineRule="auto"/>
              <w:ind w:left="357" w:hanging="357"/>
              <w:rPr>
                <w:rFonts w:ascii="Arial" w:eastAsia="WenQuanYi Micro Hei" w:hAnsi="Arial" w:cs="Arial"/>
                <w:szCs w:val="24"/>
                <w:lang w:eastAsia="de-DE"/>
              </w:rPr>
            </w:pPr>
            <w:r w:rsidRPr="008F5A9F">
              <w:rPr>
                <w:rFonts w:ascii="Arial" w:eastAsia="WenQuanYi Micro Hei" w:hAnsi="Arial" w:cs="Arial"/>
                <w:szCs w:val="24"/>
                <w:lang w:eastAsia="de-DE"/>
              </w:rPr>
              <w:t xml:space="preserve">biologische Phänomene auf </w:t>
            </w:r>
            <w:proofErr w:type="spellStart"/>
            <w:r w:rsidRPr="008F5A9F">
              <w:rPr>
                <w:rFonts w:ascii="Arial" w:eastAsia="WenQuanYi Micro Hei" w:hAnsi="Arial" w:cs="Arial"/>
                <w:szCs w:val="24"/>
                <w:lang w:eastAsia="de-DE"/>
              </w:rPr>
              <w:t>ultimater</w:t>
            </w:r>
            <w:proofErr w:type="spellEnd"/>
            <w:r w:rsidRPr="008F5A9F">
              <w:rPr>
                <w:rFonts w:ascii="Arial" w:eastAsia="WenQuanYi Micro Hei" w:hAnsi="Arial" w:cs="Arial"/>
                <w:szCs w:val="24"/>
                <w:lang w:eastAsia="de-DE"/>
              </w:rPr>
              <w:t xml:space="preserve"> und </w:t>
            </w:r>
            <w:proofErr w:type="spellStart"/>
            <w:r w:rsidRPr="008F5A9F">
              <w:rPr>
                <w:rFonts w:ascii="Arial" w:eastAsia="WenQuanYi Micro Hei" w:hAnsi="Arial" w:cs="Arial"/>
                <w:szCs w:val="24"/>
                <w:lang w:eastAsia="de-DE"/>
              </w:rPr>
              <w:t>proximater</w:t>
            </w:r>
            <w:proofErr w:type="spellEnd"/>
            <w:r w:rsidRPr="008F5A9F">
              <w:rPr>
                <w:rFonts w:ascii="Arial" w:eastAsia="WenQuanYi Micro Hei" w:hAnsi="Arial" w:cs="Arial"/>
                <w:szCs w:val="24"/>
                <w:lang w:eastAsia="de-DE"/>
              </w:rPr>
              <w:t xml:space="preserve"> Ebene betrachten</w:t>
            </w:r>
          </w:p>
          <w:p w:rsidR="00E940BE" w:rsidRPr="008F5A9F" w:rsidRDefault="00E940BE" w:rsidP="00E940BE">
            <w:pPr>
              <w:spacing w:after="0" w:line="360" w:lineRule="auto"/>
              <w:ind w:left="357" w:hanging="357"/>
              <w:rPr>
                <w:rFonts w:ascii="Arial" w:eastAsia="Times New Roman" w:hAnsi="Arial" w:cs="Arial"/>
                <w:szCs w:val="24"/>
                <w:lang w:eastAsia="de-DE" w:bidi="en-US"/>
              </w:rPr>
            </w:pPr>
            <w:r w:rsidRPr="008F5A9F">
              <w:rPr>
                <w:rFonts w:ascii="Arial" w:eastAsia="WenQuanYi Micro Hei" w:hAnsi="Arial" w:cs="Arial"/>
                <w:szCs w:val="24"/>
                <w:lang w:eastAsia="de-DE"/>
              </w:rPr>
              <w:t>Stoff- und Energiewechselprozesse im Kontext zur Evolution darstellen</w:t>
            </w:r>
          </w:p>
        </w:tc>
      </w:tr>
      <w:tr w:rsidR="00E940BE" w:rsidRPr="008F5A9F" w:rsidTr="00D437B3">
        <w:tc>
          <w:tcPr>
            <w:tcW w:w="9854" w:type="dxa"/>
          </w:tcPr>
          <w:p w:rsidR="00E940BE" w:rsidRPr="008F5A9F" w:rsidRDefault="00E940BE" w:rsidP="00E940BE">
            <w:pPr>
              <w:spacing w:after="0" w:line="360" w:lineRule="auto"/>
              <w:rPr>
                <w:rFonts w:ascii="Arial" w:eastAsia="Times New Roman" w:hAnsi="Arial" w:cs="Arial"/>
                <w:color w:val="000000"/>
                <w:szCs w:val="20"/>
                <w:u w:val="single"/>
                <w:lang w:bidi="en-US"/>
              </w:rPr>
            </w:pPr>
            <w:r w:rsidRPr="008F5A9F">
              <w:rPr>
                <w:rFonts w:ascii="Arial" w:eastAsia="Times New Roman" w:hAnsi="Arial" w:cs="Arial"/>
                <w:color w:val="000000"/>
                <w:szCs w:val="20"/>
                <w:u w:val="single"/>
                <w:lang w:bidi="en-US"/>
              </w:rPr>
              <w:t>Bezug zu grundlegenden Wissensbeständen:</w:t>
            </w:r>
          </w:p>
          <w:p w:rsidR="00E940BE" w:rsidRPr="008F5A9F" w:rsidRDefault="00E940BE" w:rsidP="00E940BE">
            <w:pPr>
              <w:spacing w:after="0" w:line="360" w:lineRule="auto"/>
              <w:ind w:left="357" w:hanging="357"/>
              <w:rPr>
                <w:rFonts w:ascii="Arial" w:eastAsia="Times New Roman" w:hAnsi="Arial" w:cs="Arial"/>
                <w:szCs w:val="24"/>
                <w:lang w:eastAsia="de-DE" w:bidi="en-US"/>
              </w:rPr>
            </w:pPr>
            <w:r w:rsidRPr="008F5A9F">
              <w:rPr>
                <w:rFonts w:ascii="Arial" w:eastAsia="Times New Roman" w:hAnsi="Arial" w:cs="Arial"/>
                <w:szCs w:val="24"/>
                <w:lang w:eastAsia="de-DE" w:bidi="en-US"/>
              </w:rPr>
              <w:t>Fitnesskonzept: direkte und indirekte Fitness, Kosten-Nutzen-Betrachtung</w:t>
            </w:r>
          </w:p>
          <w:p w:rsidR="00E940BE" w:rsidRPr="008F5A9F" w:rsidRDefault="00E940BE" w:rsidP="00E940BE">
            <w:pPr>
              <w:spacing w:after="0" w:line="360" w:lineRule="auto"/>
              <w:ind w:left="357" w:hanging="357"/>
              <w:rPr>
                <w:rFonts w:ascii="Arial" w:eastAsia="Times New Roman" w:hAnsi="Arial" w:cs="Arial"/>
                <w:szCs w:val="24"/>
                <w:lang w:eastAsia="de-DE" w:bidi="en-US"/>
              </w:rPr>
            </w:pPr>
            <w:r w:rsidRPr="008F5A9F">
              <w:rPr>
                <w:rFonts w:ascii="Arial" w:eastAsia="Times New Roman" w:hAnsi="Arial" w:cs="Arial"/>
                <w:szCs w:val="24"/>
                <w:lang w:eastAsia="de-DE" w:bidi="en-US"/>
              </w:rPr>
              <w:t>Stoff- und Energiewechselprozesse</w:t>
            </w:r>
          </w:p>
          <w:p w:rsidR="00E940BE" w:rsidRPr="008F5A9F" w:rsidRDefault="00E940BE" w:rsidP="00E940BE">
            <w:pPr>
              <w:spacing w:after="0" w:line="360" w:lineRule="auto"/>
              <w:ind w:left="357" w:hanging="357"/>
              <w:rPr>
                <w:rFonts w:ascii="Arial" w:eastAsia="Times New Roman" w:hAnsi="Arial" w:cs="Arial"/>
                <w:szCs w:val="24"/>
                <w:lang w:eastAsia="de-DE" w:bidi="en-US"/>
              </w:rPr>
            </w:pPr>
            <w:r w:rsidRPr="008F5A9F">
              <w:rPr>
                <w:rFonts w:ascii="Arial" w:eastAsia="Times New Roman" w:hAnsi="Arial" w:cs="Arial"/>
                <w:szCs w:val="24"/>
                <w:lang w:eastAsia="de-DE" w:bidi="en-US"/>
              </w:rPr>
              <w:t>Zellatmung: stoffliche und energetische Gesamtbilanz</w:t>
            </w:r>
          </w:p>
          <w:p w:rsidR="00E940BE" w:rsidRPr="008F5A9F" w:rsidRDefault="00E940BE" w:rsidP="00E940BE">
            <w:pPr>
              <w:spacing w:after="0" w:line="360" w:lineRule="auto"/>
              <w:ind w:left="357" w:hanging="357"/>
              <w:rPr>
                <w:rFonts w:ascii="Arial" w:eastAsia="Times New Roman" w:hAnsi="Arial" w:cs="Arial"/>
                <w:szCs w:val="24"/>
                <w:lang w:eastAsia="de-DE" w:bidi="en-US"/>
              </w:rPr>
            </w:pPr>
            <w:r w:rsidRPr="008F5A9F">
              <w:rPr>
                <w:rFonts w:ascii="Arial" w:eastAsia="Times New Roman" w:hAnsi="Arial" w:cs="Arial"/>
                <w:szCs w:val="24"/>
                <w:lang w:eastAsia="de-DE" w:bidi="en-US"/>
              </w:rPr>
              <w:t>synthetische Evolutionstheorie</w:t>
            </w:r>
          </w:p>
        </w:tc>
      </w:tr>
    </w:tbl>
    <w:p w:rsidR="00E940BE" w:rsidRPr="008F5A9F" w:rsidRDefault="00E940BE">
      <w:pPr>
        <w:rPr>
          <w:rFonts w:ascii="Arial" w:hAnsi="Arial" w:cs="Arial"/>
        </w:rPr>
      </w:pPr>
    </w:p>
    <w:sectPr w:rsidR="00E940BE" w:rsidRPr="008F5A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8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27"/>
    <w:rsid w:val="004D2A5E"/>
    <w:rsid w:val="008F5A9F"/>
    <w:rsid w:val="009B6327"/>
    <w:rsid w:val="00E94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0593"/>
  <w15:chartTrackingRefBased/>
  <w15:docId w15:val="{E4B638E0-CD68-43AB-9EB3-FC067C8F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940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40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ances.sciencemag.org/content/advances/2/1/e1500951.full.pdf"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vances.sciencemag.org/content/advances/2/1/e1500951.full.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advances.sciencemag.org/content/advances/2/1/e1500951.full.pdf" TargetMode="External"/><Relationship Id="rId9" Type="http://schemas.openxmlformats.org/officeDocument/2006/relationships/hyperlink" Target="http://www.researchgate.net/publication/125796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5195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Olm, Caroline</cp:lastModifiedBy>
  <cp:revision>3</cp:revision>
  <cp:lastPrinted>2020-07-06T10:46:00Z</cp:lastPrinted>
  <dcterms:created xsi:type="dcterms:W3CDTF">2020-07-03T08:09:00Z</dcterms:created>
  <dcterms:modified xsi:type="dcterms:W3CDTF">2020-07-06T10:46:00Z</dcterms:modified>
</cp:coreProperties>
</file>