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65" w:rsidRPr="000031CD" w:rsidRDefault="005110DB" w:rsidP="006D449B">
      <w:pPr>
        <w:spacing w:after="0" w:line="240" w:lineRule="auto"/>
        <w:rPr>
          <w:rFonts w:ascii="Arial" w:hAnsi="Arial" w:cs="Arial"/>
          <w:b/>
          <w:sz w:val="28"/>
          <w:szCs w:val="28"/>
        </w:rPr>
      </w:pPr>
      <w:r w:rsidRPr="00F3286D">
        <w:rPr>
          <w:rFonts w:ascii="Arial" w:hAnsi="Arial" w:cs="Arial"/>
          <w:b/>
          <w:sz w:val="24"/>
          <w:szCs w:val="24"/>
        </w:rPr>
        <w:t>Allergien</w:t>
      </w:r>
    </w:p>
    <w:p w:rsidR="006D449B" w:rsidRDefault="006D449B" w:rsidP="00CC1D68">
      <w:pPr>
        <w:spacing w:after="0" w:line="240" w:lineRule="auto"/>
        <w:jc w:val="both"/>
        <w:rPr>
          <w:rFonts w:ascii="Arial" w:hAnsi="Arial" w:cs="Arial"/>
        </w:rPr>
      </w:pPr>
    </w:p>
    <w:p w:rsidR="003635A1" w:rsidRPr="005D58CB" w:rsidRDefault="005110DB" w:rsidP="00CC1D68">
      <w:pPr>
        <w:spacing w:after="0" w:line="240" w:lineRule="auto"/>
        <w:jc w:val="both"/>
        <w:rPr>
          <w:rFonts w:ascii="Arial" w:hAnsi="Arial" w:cs="Arial"/>
        </w:rPr>
      </w:pPr>
      <w:r w:rsidRPr="005D58CB">
        <w:rPr>
          <w:rFonts w:ascii="Arial" w:hAnsi="Arial" w:cs="Arial"/>
        </w:rPr>
        <w:t>Allergien sind unangemess</w:t>
      </w:r>
      <w:r w:rsidR="00F132CA" w:rsidRPr="005D58CB">
        <w:rPr>
          <w:rFonts w:ascii="Arial" w:hAnsi="Arial" w:cs="Arial"/>
        </w:rPr>
        <w:t xml:space="preserve">ene Reaktionen des Immunsystems auf harmlose Stoffe aus der Umwelt. </w:t>
      </w:r>
      <w:r w:rsidR="000A652F" w:rsidRPr="005D58CB">
        <w:rPr>
          <w:rFonts w:ascii="Arial" w:hAnsi="Arial" w:cs="Arial"/>
        </w:rPr>
        <w:t xml:space="preserve">Normalerweise werden solche Stoffe vom Immunsystem erkannt, deren Bekämpfung wird jedoch bald darauf eingestellt. Im Fall einer allergischen Reaktion leitet das </w:t>
      </w:r>
      <w:r w:rsidR="003635A1" w:rsidRPr="005D58CB">
        <w:rPr>
          <w:rFonts w:ascii="Arial" w:hAnsi="Arial" w:cs="Arial"/>
        </w:rPr>
        <w:t>Immuns</w:t>
      </w:r>
      <w:r w:rsidR="000A652F" w:rsidRPr="005D58CB">
        <w:rPr>
          <w:rFonts w:ascii="Arial" w:hAnsi="Arial" w:cs="Arial"/>
        </w:rPr>
        <w:t xml:space="preserve">ystem heftige Reaktionskaskaden an den betreffenden </w:t>
      </w:r>
      <w:r w:rsidR="00F35A4C" w:rsidRPr="005D58CB">
        <w:rPr>
          <w:rFonts w:ascii="Arial" w:hAnsi="Arial" w:cs="Arial"/>
        </w:rPr>
        <w:t>Körperstelle oder Geweben ein.</w:t>
      </w:r>
      <w:r w:rsidR="000A652F" w:rsidRPr="005D58CB">
        <w:rPr>
          <w:rFonts w:ascii="Arial" w:hAnsi="Arial" w:cs="Arial"/>
        </w:rPr>
        <w:t xml:space="preserve"> Seit d</w:t>
      </w:r>
      <w:r w:rsidR="009A592B">
        <w:rPr>
          <w:rFonts w:ascii="Arial" w:hAnsi="Arial" w:cs="Arial"/>
        </w:rPr>
        <w:t>en 1920-</w:t>
      </w:r>
      <w:r w:rsidR="000A652F" w:rsidRPr="005D58CB">
        <w:rPr>
          <w:rFonts w:ascii="Arial" w:hAnsi="Arial" w:cs="Arial"/>
        </w:rPr>
        <w:t>ern registriert man eine ständige Zunahme an Allergien bei Menschen, vor allem in den Industrieländern</w:t>
      </w:r>
      <w:r w:rsidR="003635A1" w:rsidRPr="005D58CB">
        <w:rPr>
          <w:rFonts w:ascii="Arial" w:hAnsi="Arial" w:cs="Arial"/>
        </w:rPr>
        <w:t xml:space="preserve">. </w:t>
      </w:r>
      <w:r w:rsidR="00BB4C5C" w:rsidRPr="005D58CB">
        <w:rPr>
          <w:rFonts w:ascii="Arial" w:hAnsi="Arial" w:cs="Arial"/>
        </w:rPr>
        <w:t>Allergie</w:t>
      </w:r>
      <w:r w:rsidR="003635A1" w:rsidRPr="005D58CB">
        <w:rPr>
          <w:rFonts w:ascii="Arial" w:hAnsi="Arial" w:cs="Arial"/>
        </w:rPr>
        <w:t xml:space="preserve"> auslösende Stoffe, sogenannte Allergene, sind </w:t>
      </w:r>
      <w:r w:rsidR="00342B17" w:rsidRPr="005D58CB">
        <w:rPr>
          <w:rFonts w:ascii="Arial" w:hAnsi="Arial" w:cs="Arial"/>
        </w:rPr>
        <w:t>oftm</w:t>
      </w:r>
      <w:r w:rsidR="00BB4C5C" w:rsidRPr="005D58CB">
        <w:rPr>
          <w:rFonts w:ascii="Arial" w:hAnsi="Arial" w:cs="Arial"/>
        </w:rPr>
        <w:t>als kleine Peptide</w:t>
      </w:r>
      <w:r w:rsidR="00F35A4C" w:rsidRPr="005D58CB">
        <w:rPr>
          <w:rFonts w:ascii="Arial" w:hAnsi="Arial" w:cs="Arial"/>
        </w:rPr>
        <w:t xml:space="preserve"> </w:t>
      </w:r>
      <w:r w:rsidR="00BB4C5C" w:rsidRPr="005D58CB">
        <w:rPr>
          <w:rFonts w:ascii="Arial" w:hAnsi="Arial" w:cs="Arial"/>
        </w:rPr>
        <w:t xml:space="preserve">(Antigene) von </w:t>
      </w:r>
      <w:r w:rsidR="00342B17" w:rsidRPr="005D58CB">
        <w:rPr>
          <w:rFonts w:ascii="Arial" w:hAnsi="Arial" w:cs="Arial"/>
        </w:rPr>
        <w:t>Pollen, Nahrung</w:t>
      </w:r>
      <w:r w:rsidR="00E53FA9" w:rsidRPr="005D58CB">
        <w:rPr>
          <w:rFonts w:ascii="Arial" w:hAnsi="Arial" w:cs="Arial"/>
        </w:rPr>
        <w:t xml:space="preserve">smitteln </w:t>
      </w:r>
      <w:r w:rsidR="00335CDA">
        <w:rPr>
          <w:rFonts w:ascii="Arial" w:hAnsi="Arial" w:cs="Arial"/>
        </w:rPr>
        <w:t>u.v.m.</w:t>
      </w:r>
    </w:p>
    <w:p w:rsidR="00BB4C5C" w:rsidRPr="005D58CB" w:rsidRDefault="00BB4C5C" w:rsidP="00CC1D68">
      <w:pPr>
        <w:spacing w:after="0" w:line="240" w:lineRule="auto"/>
        <w:jc w:val="both"/>
        <w:rPr>
          <w:rFonts w:ascii="Arial" w:hAnsi="Arial" w:cs="Arial"/>
        </w:rPr>
      </w:pPr>
      <w:r w:rsidRPr="005D58CB">
        <w:rPr>
          <w:rFonts w:ascii="Arial" w:hAnsi="Arial" w:cs="Arial"/>
        </w:rPr>
        <w:t>An der allergischen Reaktion sind meist Mastzellen beteiligt. Diese weißen Blutzellen befinden sich hauptsächlich in Bindegeweben und Grenzorganen, die Kont</w:t>
      </w:r>
      <w:r w:rsidR="000031CD">
        <w:rPr>
          <w:rFonts w:ascii="Arial" w:hAnsi="Arial" w:cs="Arial"/>
        </w:rPr>
        <w:t>akt mit der Außenwelt haben (z. </w:t>
      </w:r>
      <w:r w:rsidRPr="005D58CB">
        <w:rPr>
          <w:rFonts w:ascii="Arial" w:hAnsi="Arial" w:cs="Arial"/>
        </w:rPr>
        <w:t>B. Haut, Atemwege usw.)</w:t>
      </w:r>
      <w:r w:rsidR="006D449B">
        <w:rPr>
          <w:rFonts w:ascii="Arial" w:hAnsi="Arial" w:cs="Arial"/>
        </w:rPr>
        <w:t>.</w:t>
      </w:r>
      <w:r w:rsidRPr="005D58CB">
        <w:rPr>
          <w:rFonts w:ascii="Arial" w:hAnsi="Arial" w:cs="Arial"/>
        </w:rPr>
        <w:t xml:space="preserve"> Sie beinhalten eine hohe Anzahl an Vesikeln, die bis zu 200 verschiedene Botenstoffe</w:t>
      </w:r>
      <w:r w:rsidR="00326EEF" w:rsidRPr="005D58CB">
        <w:rPr>
          <w:rFonts w:ascii="Arial" w:hAnsi="Arial" w:cs="Arial"/>
        </w:rPr>
        <w:t xml:space="preserve"> </w:t>
      </w:r>
      <w:r w:rsidRPr="005D58CB">
        <w:rPr>
          <w:rFonts w:ascii="Arial" w:hAnsi="Arial" w:cs="Arial"/>
        </w:rPr>
        <w:t>speichern können.</w:t>
      </w:r>
    </w:p>
    <w:p w:rsidR="004C57BF" w:rsidRDefault="004C57BF" w:rsidP="00CC1D68">
      <w:pPr>
        <w:spacing w:after="0" w:line="240" w:lineRule="auto"/>
        <w:jc w:val="both"/>
        <w:rPr>
          <w:rFonts w:ascii="Arial" w:hAnsi="Arial" w:cs="Arial"/>
        </w:rPr>
      </w:pPr>
      <w:r w:rsidRPr="005D58CB">
        <w:rPr>
          <w:rFonts w:ascii="Arial" w:hAnsi="Arial" w:cs="Arial"/>
        </w:rPr>
        <w:t xml:space="preserve">Der eigentlichen allergischen Reaktion geht eine Sensibilisierung des Immunsystems voraus. Der </w:t>
      </w:r>
      <w:r w:rsidR="00F35A4C" w:rsidRPr="005D58CB">
        <w:rPr>
          <w:rFonts w:ascii="Arial" w:hAnsi="Arial" w:cs="Arial"/>
        </w:rPr>
        <w:t>Körper antwortet auf die scheinbare</w:t>
      </w:r>
      <w:r w:rsidRPr="005D58CB">
        <w:rPr>
          <w:rFonts w:ascii="Arial" w:hAnsi="Arial" w:cs="Arial"/>
        </w:rPr>
        <w:t xml:space="preserve"> Bedrohung mit der Bildung ganz spezieller A</w:t>
      </w:r>
      <w:r w:rsidR="000031CD">
        <w:rPr>
          <w:rFonts w:ascii="Arial" w:hAnsi="Arial" w:cs="Arial"/>
        </w:rPr>
        <w:t>ntikörper, den IgE-Antikörpern.</w:t>
      </w:r>
    </w:p>
    <w:p w:rsidR="000031CD" w:rsidRPr="005D58CB" w:rsidRDefault="000031CD" w:rsidP="00CC1D68">
      <w:pPr>
        <w:spacing w:after="0" w:line="240" w:lineRule="auto"/>
        <w:jc w:val="both"/>
        <w:rPr>
          <w:rFonts w:ascii="Arial" w:hAnsi="Arial" w:cs="Arial"/>
        </w:rPr>
      </w:pPr>
    </w:p>
    <w:p w:rsidR="000176C0" w:rsidRPr="00F3286D" w:rsidRDefault="006D449B" w:rsidP="00F3286D">
      <w:pPr>
        <w:pStyle w:val="Listenabsatz"/>
        <w:numPr>
          <w:ilvl w:val="0"/>
          <w:numId w:val="6"/>
        </w:numPr>
        <w:spacing w:after="0" w:line="240" w:lineRule="auto"/>
        <w:ind w:left="284"/>
        <w:rPr>
          <w:rFonts w:ascii="Arial" w:hAnsi="Arial" w:cs="Arial"/>
        </w:rPr>
      </w:pPr>
      <w:r w:rsidRPr="00F3286D">
        <w:rPr>
          <w:rFonts w:ascii="Arial" w:hAnsi="Arial" w:cs="Arial"/>
        </w:rPr>
        <w:t>Erläutern Sie mith</w:t>
      </w:r>
      <w:r w:rsidR="000176C0" w:rsidRPr="00F3286D">
        <w:rPr>
          <w:rFonts w:ascii="Arial" w:hAnsi="Arial" w:cs="Arial"/>
        </w:rPr>
        <w:t>ilfe des Materials 1 das Zustandekommen einer allergische</w:t>
      </w:r>
      <w:r w:rsidR="000031CD" w:rsidRPr="00F3286D">
        <w:rPr>
          <w:rFonts w:ascii="Arial" w:hAnsi="Arial" w:cs="Arial"/>
        </w:rPr>
        <w:t>n Reaktion</w:t>
      </w:r>
      <w:r w:rsidR="000176C0" w:rsidRPr="00F3286D">
        <w:rPr>
          <w:rFonts w:ascii="Arial" w:hAnsi="Arial" w:cs="Arial"/>
        </w:rPr>
        <w:t>.</w:t>
      </w:r>
    </w:p>
    <w:p w:rsidR="00CC1D68" w:rsidRPr="005D58CB" w:rsidRDefault="00CC1D68" w:rsidP="00CC1D68">
      <w:pPr>
        <w:pStyle w:val="Listenabsatz"/>
        <w:spacing w:after="0" w:line="240" w:lineRule="auto"/>
        <w:ind w:left="284"/>
        <w:rPr>
          <w:rFonts w:ascii="Arial" w:hAnsi="Arial" w:cs="Arial"/>
        </w:rPr>
      </w:pPr>
    </w:p>
    <w:p w:rsidR="00966413" w:rsidRPr="00F3286D" w:rsidRDefault="00966413" w:rsidP="00F3286D">
      <w:pPr>
        <w:pStyle w:val="Listenabsatz"/>
        <w:numPr>
          <w:ilvl w:val="0"/>
          <w:numId w:val="6"/>
        </w:numPr>
        <w:spacing w:after="0" w:line="240" w:lineRule="auto"/>
        <w:ind w:left="284"/>
        <w:jc w:val="both"/>
        <w:rPr>
          <w:rFonts w:ascii="Arial" w:hAnsi="Arial" w:cs="Arial"/>
        </w:rPr>
      </w:pPr>
      <w:r w:rsidRPr="00F3286D">
        <w:rPr>
          <w:rFonts w:ascii="Arial" w:hAnsi="Arial" w:cs="Arial"/>
        </w:rPr>
        <w:t>Diskutieren Sie auf der Grundlage des Materials 2 die Möglichkeit der persönlichen Einfluss</w:t>
      </w:r>
      <w:r w:rsidR="000031CD" w:rsidRPr="00F3286D">
        <w:rPr>
          <w:rFonts w:ascii="Arial" w:hAnsi="Arial" w:cs="Arial"/>
        </w:rPr>
        <w:softHyphen/>
      </w:r>
      <w:r w:rsidRPr="00F3286D">
        <w:rPr>
          <w:rFonts w:ascii="Arial" w:hAnsi="Arial" w:cs="Arial"/>
        </w:rPr>
        <w:t>nahme auf die Ausbildung von Allergien.</w:t>
      </w:r>
    </w:p>
    <w:p w:rsidR="000031CD" w:rsidRDefault="000031CD">
      <w:pPr>
        <w:rPr>
          <w:rFonts w:ascii="Arial" w:hAnsi="Arial" w:cs="Arial"/>
          <w:noProof/>
          <w:lang w:eastAsia="de-DE"/>
        </w:rPr>
      </w:pPr>
    </w:p>
    <w:p w:rsidR="00E53FA9" w:rsidRPr="000031CD" w:rsidRDefault="000176C0">
      <w:pPr>
        <w:rPr>
          <w:rFonts w:ascii="Arial" w:hAnsi="Arial" w:cs="Arial"/>
          <w:b/>
          <w:noProof/>
          <w:lang w:eastAsia="de-DE"/>
        </w:rPr>
      </w:pPr>
      <w:r w:rsidRPr="000031CD">
        <w:rPr>
          <w:rFonts w:ascii="Arial" w:hAnsi="Arial" w:cs="Arial"/>
          <w:b/>
          <w:noProof/>
          <w:lang w:eastAsia="de-DE"/>
        </w:rPr>
        <w:t>Material 1 zur Aufgabe 1:</w:t>
      </w:r>
      <w:r w:rsidRPr="000031CD">
        <w:rPr>
          <w:rFonts w:ascii="Arial" w:hAnsi="Arial" w:cs="Arial"/>
          <w:b/>
          <w:noProof/>
          <w:lang w:eastAsia="de-DE"/>
        </w:rPr>
        <w:tab/>
      </w:r>
      <w:r w:rsidR="00E53FA9" w:rsidRPr="000031CD">
        <w:rPr>
          <w:rFonts w:ascii="Arial" w:hAnsi="Arial" w:cs="Arial"/>
          <w:b/>
          <w:noProof/>
          <w:lang w:eastAsia="de-DE"/>
        </w:rPr>
        <w:t>Phasen einer Allergiereaktion</w:t>
      </w:r>
    </w:p>
    <w:p w:rsidR="00966413" w:rsidRPr="005D58CB" w:rsidRDefault="00A118FF" w:rsidP="009E7558">
      <w:pPr>
        <w:rPr>
          <w:rFonts w:ascii="Arial" w:hAnsi="Arial" w:cs="Arial"/>
        </w:rPr>
      </w:pPr>
      <w:r w:rsidRPr="005D58CB">
        <w:rPr>
          <w:rFonts w:ascii="Arial" w:hAnsi="Arial" w:cs="Arial"/>
          <w:noProof/>
          <w:lang w:eastAsia="de-DE"/>
        </w:rPr>
        <w:drawing>
          <wp:inline distT="0" distB="0" distL="0" distR="0" wp14:anchorId="590D85C6" wp14:editId="76D1E9F3">
            <wp:extent cx="5705475" cy="2748756"/>
            <wp:effectExtent l="0" t="0" r="0" b="0"/>
            <wp:docPr id="2" name="Grafik 2" descr="D:\Referenten\Bildungsserver\Allergie-neu Juni Halberst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renten\Bildungsserver\Allergie-neu Juni Halberstad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7043" cy="2754329"/>
                    </a:xfrm>
                    <a:prstGeom prst="rect">
                      <a:avLst/>
                    </a:prstGeom>
                    <a:noFill/>
                    <a:ln>
                      <a:noFill/>
                    </a:ln>
                  </pic:spPr>
                </pic:pic>
              </a:graphicData>
            </a:graphic>
          </wp:inline>
        </w:drawing>
      </w:r>
    </w:p>
    <w:p w:rsidR="00A118FF" w:rsidRDefault="00DD5A0D" w:rsidP="007926DD">
      <w:pPr>
        <w:spacing w:after="0"/>
        <w:ind w:right="-425"/>
        <w:rPr>
          <w:rStyle w:val="Hyperlink"/>
          <w:rFonts w:ascii="Arial" w:hAnsi="Arial" w:cs="Arial"/>
          <w:color w:val="auto"/>
          <w:sz w:val="20"/>
          <w:szCs w:val="20"/>
          <w:u w:val="none"/>
        </w:rPr>
      </w:pPr>
      <w:r w:rsidRPr="007926DD">
        <w:rPr>
          <w:rFonts w:ascii="Arial" w:hAnsi="Arial" w:cs="Arial"/>
          <w:sz w:val="20"/>
          <w:szCs w:val="20"/>
        </w:rPr>
        <w:t>Nach:</w:t>
      </w:r>
      <w:r w:rsidR="00CC1D68">
        <w:rPr>
          <w:rFonts w:ascii="Arial" w:hAnsi="Arial" w:cs="Arial"/>
          <w:sz w:val="20"/>
          <w:szCs w:val="20"/>
        </w:rPr>
        <w:tab/>
      </w:r>
      <w:r w:rsidR="000031CD" w:rsidRPr="007926DD">
        <w:rPr>
          <w:rFonts w:ascii="Arial" w:hAnsi="Arial" w:cs="Arial"/>
          <w:sz w:val="20"/>
          <w:szCs w:val="20"/>
        </w:rPr>
        <w:t>https://www.mastzellaktivierung.info/de/mastzellerkrankungen_normalemastzellfunktion.html</w:t>
      </w:r>
    </w:p>
    <w:p w:rsidR="007926DD" w:rsidRPr="007926DD" w:rsidRDefault="007926DD" w:rsidP="00CC1D68">
      <w:pPr>
        <w:ind w:left="714" w:right="-425" w:hanging="6"/>
        <w:rPr>
          <w:rFonts w:ascii="Arial" w:hAnsi="Arial" w:cs="Arial"/>
          <w:sz w:val="20"/>
          <w:szCs w:val="20"/>
        </w:rPr>
      </w:pPr>
      <w:r>
        <w:rPr>
          <w:rStyle w:val="Hyperlink"/>
          <w:rFonts w:ascii="Arial" w:hAnsi="Arial" w:cs="Arial"/>
          <w:color w:val="auto"/>
          <w:sz w:val="20"/>
          <w:szCs w:val="20"/>
          <w:u w:val="none"/>
        </w:rPr>
        <w:t>(18.08.2018)</w:t>
      </w:r>
    </w:p>
    <w:p w:rsidR="000031CD" w:rsidRDefault="000031CD">
      <w:pPr>
        <w:rPr>
          <w:rFonts w:ascii="Arial" w:hAnsi="Arial" w:cs="Arial"/>
        </w:rPr>
      </w:pPr>
      <w:r>
        <w:rPr>
          <w:rFonts w:ascii="Arial" w:hAnsi="Arial" w:cs="Arial"/>
        </w:rPr>
        <w:br w:type="page"/>
      </w:r>
    </w:p>
    <w:p w:rsidR="00F3286D" w:rsidRPr="000031CD" w:rsidRDefault="00966413" w:rsidP="005E35D5">
      <w:pPr>
        <w:spacing w:after="60" w:line="240" w:lineRule="auto"/>
        <w:rPr>
          <w:rFonts w:ascii="Arial" w:hAnsi="Arial" w:cs="Arial"/>
          <w:b/>
        </w:rPr>
      </w:pPr>
      <w:r w:rsidRPr="000031CD">
        <w:rPr>
          <w:rFonts w:ascii="Arial" w:hAnsi="Arial" w:cs="Arial"/>
          <w:b/>
        </w:rPr>
        <w:lastRenderedPageBreak/>
        <w:t>Material 2 zu Aufgabe 2</w:t>
      </w:r>
      <w:r w:rsidR="000031CD">
        <w:rPr>
          <w:rFonts w:ascii="Arial" w:hAnsi="Arial" w:cs="Arial"/>
          <w:b/>
        </w:rPr>
        <w:t>:</w:t>
      </w:r>
      <w:bookmarkStart w:id="0" w:name="_GoBack"/>
      <w:bookmarkEnd w:id="0"/>
    </w:p>
    <w:p w:rsidR="00966413" w:rsidRDefault="00966413" w:rsidP="00CC1D68">
      <w:pPr>
        <w:spacing w:after="0" w:line="240" w:lineRule="auto"/>
        <w:rPr>
          <w:rFonts w:ascii="Arial" w:hAnsi="Arial" w:cs="Arial"/>
          <w:b/>
        </w:rPr>
      </w:pPr>
      <w:r w:rsidRPr="000031CD">
        <w:rPr>
          <w:rFonts w:ascii="Arial" w:hAnsi="Arial" w:cs="Arial"/>
          <w:b/>
        </w:rPr>
        <w:t xml:space="preserve">A – </w:t>
      </w:r>
      <w:r w:rsidR="00CE4081" w:rsidRPr="000031CD">
        <w:rPr>
          <w:rFonts w:ascii="Arial" w:hAnsi="Arial" w:cs="Arial"/>
          <w:b/>
        </w:rPr>
        <w:t>Auftreten von Allergien</w:t>
      </w:r>
      <w:r w:rsidR="008E6BD7">
        <w:rPr>
          <w:rFonts w:ascii="Arial" w:hAnsi="Arial" w:cs="Arial"/>
          <w:b/>
        </w:rPr>
        <w:t xml:space="preserve"> bei Kindern</w:t>
      </w:r>
    </w:p>
    <w:p w:rsidR="00CC1D68" w:rsidRPr="000031CD" w:rsidRDefault="00CC1D68" w:rsidP="00CC1D68">
      <w:pPr>
        <w:spacing w:after="0" w:line="240" w:lineRule="auto"/>
        <w:rPr>
          <w:rFonts w:ascii="Arial" w:hAnsi="Arial" w:cs="Arial"/>
          <w:b/>
        </w:rPr>
      </w:pPr>
    </w:p>
    <w:p w:rsidR="00966413" w:rsidRPr="005E35D5" w:rsidRDefault="00CB4699" w:rsidP="008E6BD7">
      <w:pPr>
        <w:jc w:val="center"/>
        <w:rPr>
          <w:rFonts w:ascii="Arial" w:hAnsi="Arial" w:cs="Arial"/>
          <w:sz w:val="16"/>
          <w:szCs w:val="16"/>
        </w:rPr>
      </w:pPr>
      <w:r>
        <w:rPr>
          <w:rFonts w:ascii="Arial" w:hAnsi="Arial" w:cs="Arial"/>
          <w:noProof/>
          <w:lang w:eastAsia="de-DE"/>
        </w:rPr>
        <w:drawing>
          <wp:inline distT="0" distB="0" distL="0" distR="0">
            <wp:extent cx="3154102" cy="1802724"/>
            <wp:effectExtent l="0" t="0" r="8255" b="7620"/>
            <wp:docPr id="4" name="Grafik 4" descr="D:\Referenten\2019 Material\Allergie Familiäre Belas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ferenten\2019 Material\Allergie Familiäre Belastu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6111" cy="1809588"/>
                    </a:xfrm>
                    <a:prstGeom prst="rect">
                      <a:avLst/>
                    </a:prstGeom>
                    <a:noFill/>
                    <a:ln>
                      <a:noFill/>
                    </a:ln>
                  </pic:spPr>
                </pic:pic>
              </a:graphicData>
            </a:graphic>
          </wp:inline>
        </w:drawing>
      </w:r>
    </w:p>
    <w:p w:rsidR="00BF4771" w:rsidRPr="005E35D5" w:rsidRDefault="00CC1D68" w:rsidP="00CC1D68">
      <w:pPr>
        <w:spacing w:after="0" w:line="240" w:lineRule="auto"/>
        <w:rPr>
          <w:rFonts w:ascii="Arial" w:hAnsi="Arial" w:cs="Arial"/>
          <w:sz w:val="18"/>
          <w:szCs w:val="18"/>
        </w:rPr>
      </w:pPr>
      <w:r w:rsidRPr="005E35D5">
        <w:rPr>
          <w:rFonts w:ascii="Arial" w:hAnsi="Arial" w:cs="Arial"/>
          <w:sz w:val="18"/>
          <w:szCs w:val="18"/>
        </w:rPr>
        <w:t>Nach:</w:t>
      </w:r>
      <w:r w:rsidRPr="005E35D5">
        <w:rPr>
          <w:rFonts w:ascii="Arial" w:hAnsi="Arial" w:cs="Arial"/>
          <w:sz w:val="18"/>
          <w:szCs w:val="18"/>
        </w:rPr>
        <w:tab/>
      </w:r>
      <w:r w:rsidR="000031CD" w:rsidRPr="005E35D5">
        <w:rPr>
          <w:rFonts w:ascii="Arial" w:hAnsi="Arial" w:cs="Arial"/>
          <w:sz w:val="18"/>
          <w:szCs w:val="18"/>
        </w:rPr>
        <w:t>https://ww</w:t>
      </w:r>
      <w:r w:rsidR="00962DB8" w:rsidRPr="005E35D5">
        <w:rPr>
          <w:rFonts w:ascii="Arial" w:hAnsi="Arial" w:cs="Arial"/>
          <w:sz w:val="18"/>
          <w:szCs w:val="18"/>
        </w:rPr>
        <w:t>w.daab.de/allergien/allergien-vorbeugen/</w:t>
      </w:r>
      <w:r w:rsidR="00CB4699" w:rsidRPr="005E35D5">
        <w:rPr>
          <w:rStyle w:val="Hyperlink"/>
          <w:rFonts w:ascii="Arial" w:hAnsi="Arial" w:cs="Arial"/>
          <w:color w:val="auto"/>
          <w:sz w:val="18"/>
          <w:szCs w:val="18"/>
          <w:u w:val="none"/>
        </w:rPr>
        <w:t xml:space="preserve"> (2</w:t>
      </w:r>
      <w:r w:rsidR="007926DD" w:rsidRPr="005E35D5">
        <w:rPr>
          <w:rStyle w:val="Hyperlink"/>
          <w:rFonts w:ascii="Arial" w:hAnsi="Arial" w:cs="Arial"/>
          <w:color w:val="auto"/>
          <w:sz w:val="18"/>
          <w:szCs w:val="18"/>
          <w:u w:val="none"/>
        </w:rPr>
        <w:t>8.08.2018)</w:t>
      </w:r>
    </w:p>
    <w:p w:rsidR="000031CD" w:rsidRPr="005E35D5" w:rsidRDefault="000031CD" w:rsidP="00CC1D68">
      <w:pPr>
        <w:spacing w:after="0" w:line="240" w:lineRule="auto"/>
        <w:rPr>
          <w:rFonts w:ascii="Arial" w:hAnsi="Arial" w:cs="Arial"/>
          <w:sz w:val="16"/>
          <w:szCs w:val="16"/>
        </w:rPr>
      </w:pPr>
    </w:p>
    <w:p w:rsidR="00966413" w:rsidRDefault="00966413" w:rsidP="00CC1D68">
      <w:pPr>
        <w:spacing w:after="0" w:line="240" w:lineRule="auto"/>
        <w:rPr>
          <w:rFonts w:ascii="Arial" w:hAnsi="Arial" w:cs="Arial"/>
          <w:b/>
        </w:rPr>
      </w:pPr>
      <w:r w:rsidRPr="000031CD">
        <w:rPr>
          <w:rFonts w:ascii="Arial" w:hAnsi="Arial" w:cs="Arial"/>
          <w:b/>
        </w:rPr>
        <w:t>B – Aspekte der Bauernstudie</w:t>
      </w:r>
    </w:p>
    <w:p w:rsidR="00CC1D68" w:rsidRPr="005E35D5" w:rsidRDefault="00CC1D68" w:rsidP="00CC1D68">
      <w:pPr>
        <w:spacing w:after="0" w:line="240" w:lineRule="auto"/>
        <w:rPr>
          <w:rFonts w:ascii="Arial" w:hAnsi="Arial" w:cs="Arial"/>
          <w:sz w:val="16"/>
          <w:szCs w:val="16"/>
        </w:rPr>
      </w:pPr>
    </w:p>
    <w:p w:rsidR="0087190F" w:rsidRPr="00DD16CA" w:rsidRDefault="0087190F" w:rsidP="00CC1D68">
      <w:pPr>
        <w:spacing w:after="0" w:line="240" w:lineRule="auto"/>
        <w:jc w:val="both"/>
        <w:rPr>
          <w:rFonts w:ascii="Arial" w:hAnsi="Arial" w:cs="Arial"/>
        </w:rPr>
      </w:pPr>
      <w:r w:rsidRPr="00DD16CA">
        <w:rPr>
          <w:rFonts w:ascii="Arial" w:hAnsi="Arial" w:cs="Arial"/>
        </w:rPr>
        <w:t xml:space="preserve">In der </w:t>
      </w:r>
      <w:r w:rsidR="00CE4081" w:rsidRPr="00DD16CA">
        <w:rPr>
          <w:rFonts w:ascii="Arial" w:hAnsi="Arial" w:cs="Arial"/>
        </w:rPr>
        <w:t>sogenannten B</w:t>
      </w:r>
      <w:r w:rsidRPr="00DD16CA">
        <w:rPr>
          <w:rFonts w:ascii="Arial" w:hAnsi="Arial" w:cs="Arial"/>
        </w:rPr>
        <w:t>auernstudie konnte belegt werden, dass Kinder mit engem Kontakt zu Haus- und Stalltieren und damit zu tierischen Erregern und Parasiten geschützter vor späterer Allergiebildung sind. Der Verzehr von Rohmilch und Rohmilchprodukten dieser Kinder und hauptsächlich deren Mütter während der Schwangerschaft scheint diesen schützenden Effekt zu verstärken. Kinder ohne Stallkontakt, die vorwiegend pasteurisierte Milch und daraus industriell hergestellte Milchprodukte in den ersten Lebensjahren zu sich nahmen und deren Mütter eine ebensolche Lebensweise in der Schwangerschaft aufwiesen, zeigten ein signifikant höheres Allergierisiko.</w:t>
      </w:r>
    </w:p>
    <w:p w:rsidR="0087190F" w:rsidRPr="00DD16CA" w:rsidRDefault="0087190F" w:rsidP="00CC1D68">
      <w:pPr>
        <w:spacing w:after="0" w:line="240" w:lineRule="auto"/>
        <w:jc w:val="both"/>
        <w:rPr>
          <w:rFonts w:ascii="Arial" w:hAnsi="Arial" w:cs="Arial"/>
        </w:rPr>
      </w:pPr>
      <w:r w:rsidRPr="00DD16CA">
        <w:rPr>
          <w:rFonts w:ascii="Arial" w:hAnsi="Arial" w:cs="Arial"/>
        </w:rPr>
        <w:t xml:space="preserve">Schwangeren scheint demnach eine besondere Rolle bei der Ausbildung und Reifung des angeborenen Immunsystems des Neugeborenen zuzukommen. </w:t>
      </w:r>
    </w:p>
    <w:p w:rsidR="00CE4081" w:rsidRPr="005E35D5" w:rsidRDefault="00CE4081" w:rsidP="005E35D5">
      <w:pPr>
        <w:spacing w:after="0" w:line="240" w:lineRule="auto"/>
        <w:jc w:val="both"/>
        <w:rPr>
          <w:rFonts w:ascii="Arial" w:hAnsi="Arial" w:cs="Arial"/>
          <w:sz w:val="12"/>
          <w:szCs w:val="12"/>
        </w:rPr>
      </w:pPr>
    </w:p>
    <w:p w:rsidR="005D58CB" w:rsidRPr="005E35D5" w:rsidRDefault="005D58CB" w:rsidP="007926DD">
      <w:pPr>
        <w:tabs>
          <w:tab w:val="left" w:pos="1134"/>
        </w:tabs>
        <w:spacing w:after="0"/>
        <w:rPr>
          <w:rFonts w:ascii="Arial" w:hAnsi="Arial" w:cs="Arial"/>
          <w:sz w:val="18"/>
          <w:szCs w:val="18"/>
        </w:rPr>
      </w:pPr>
      <w:r w:rsidRPr="005E35D5">
        <w:rPr>
          <w:rFonts w:ascii="Arial" w:hAnsi="Arial" w:cs="Arial"/>
          <w:sz w:val="18"/>
          <w:szCs w:val="18"/>
        </w:rPr>
        <w:t>Vergleich:</w:t>
      </w:r>
      <w:r w:rsidR="000031CD" w:rsidRPr="005E35D5">
        <w:rPr>
          <w:rFonts w:ascii="Arial" w:hAnsi="Arial" w:cs="Arial"/>
          <w:sz w:val="18"/>
          <w:szCs w:val="18"/>
        </w:rPr>
        <w:t xml:space="preserve"> </w:t>
      </w:r>
      <w:hyperlink r:id="rId7" w:history="1">
        <w:r w:rsidR="000031CD" w:rsidRPr="005E35D5">
          <w:rPr>
            <w:rStyle w:val="Hyperlink"/>
            <w:rFonts w:ascii="Arial" w:hAnsi="Arial" w:cs="Arial"/>
            <w:color w:val="auto"/>
            <w:sz w:val="18"/>
            <w:szCs w:val="18"/>
            <w:u w:val="none"/>
          </w:rPr>
          <w:t>http://archiv.ub.uni-marburg.de/diss/z2009/0791/pdf/ddq</w:t>
        </w:r>
      </w:hyperlink>
      <w:r w:rsidRPr="005E35D5">
        <w:rPr>
          <w:rFonts w:ascii="Arial" w:hAnsi="Arial" w:cs="Arial"/>
          <w:sz w:val="18"/>
          <w:szCs w:val="18"/>
        </w:rPr>
        <w:t>.pdf</w:t>
      </w:r>
      <w:r w:rsidR="000031CD" w:rsidRPr="005E35D5">
        <w:rPr>
          <w:rFonts w:ascii="Arial" w:hAnsi="Arial" w:cs="Arial"/>
          <w:sz w:val="18"/>
          <w:szCs w:val="18"/>
        </w:rPr>
        <w:t>, S. 29 – 31</w:t>
      </w:r>
      <w:r w:rsidR="007926DD" w:rsidRPr="005E35D5">
        <w:rPr>
          <w:rFonts w:ascii="Arial" w:hAnsi="Arial" w:cs="Arial"/>
          <w:sz w:val="18"/>
          <w:szCs w:val="18"/>
        </w:rPr>
        <w:t xml:space="preserve">. </w:t>
      </w:r>
      <w:r w:rsidRPr="005E35D5">
        <w:rPr>
          <w:rFonts w:ascii="Arial" w:hAnsi="Arial" w:cs="Arial"/>
          <w:sz w:val="18"/>
          <w:szCs w:val="18"/>
        </w:rPr>
        <w:t>(27.06.2018)</w:t>
      </w:r>
    </w:p>
    <w:p w:rsidR="00D83AA2" w:rsidRPr="005E35D5" w:rsidRDefault="00D83AA2" w:rsidP="005E35D5">
      <w:pPr>
        <w:spacing w:after="120"/>
        <w:rPr>
          <w:rFonts w:ascii="Arial" w:hAnsi="Arial" w:cs="Arial"/>
          <w:sz w:val="12"/>
          <w:szCs w:val="12"/>
        </w:rPr>
      </w:pPr>
    </w:p>
    <w:p w:rsidR="0087190F" w:rsidRDefault="000031CD" w:rsidP="008E6BD7">
      <w:pPr>
        <w:spacing w:after="0" w:line="240" w:lineRule="auto"/>
        <w:ind w:left="420" w:hanging="420"/>
        <w:rPr>
          <w:rFonts w:ascii="Arial" w:hAnsi="Arial" w:cs="Arial"/>
          <w:b/>
        </w:rPr>
      </w:pPr>
      <w:r w:rsidRPr="006D449B">
        <w:rPr>
          <w:rFonts w:ascii="Arial" w:hAnsi="Arial" w:cs="Arial"/>
          <w:b/>
        </w:rPr>
        <w:t xml:space="preserve">C – </w:t>
      </w:r>
      <w:r w:rsidR="0087190F" w:rsidRPr="006D449B">
        <w:rPr>
          <w:rFonts w:ascii="Arial" w:hAnsi="Arial" w:cs="Arial"/>
          <w:b/>
        </w:rPr>
        <w:t>Auszug aus der Lebensmittelempfehlung für Schwangere zum Schutz des Ungeborenen</w:t>
      </w:r>
    </w:p>
    <w:p w:rsidR="005E35D5" w:rsidRPr="005E35D5" w:rsidRDefault="005E35D5" w:rsidP="008E6BD7">
      <w:pPr>
        <w:spacing w:after="0" w:line="240" w:lineRule="auto"/>
        <w:ind w:left="420" w:hanging="420"/>
        <w:rPr>
          <w:rFonts w:ascii="Arial" w:hAnsi="Arial" w:cs="Arial"/>
          <w:b/>
          <w:sz w:val="12"/>
          <w:szCs w:val="12"/>
        </w:rPr>
      </w:pPr>
    </w:p>
    <w:tbl>
      <w:tblPr>
        <w:tblStyle w:val="Tabellenraster1"/>
        <w:tblW w:w="0" w:type="auto"/>
        <w:tblInd w:w="108" w:type="dxa"/>
        <w:tblLook w:val="04A0" w:firstRow="1" w:lastRow="0" w:firstColumn="1" w:lastColumn="0" w:noHBand="0" w:noVBand="1"/>
      </w:tblPr>
      <w:tblGrid>
        <w:gridCol w:w="4452"/>
        <w:gridCol w:w="4503"/>
      </w:tblGrid>
      <w:tr w:rsidR="005E35D5" w:rsidRPr="005E35D5" w:rsidTr="002D481D">
        <w:trPr>
          <w:trHeight w:val="500"/>
        </w:trPr>
        <w:tc>
          <w:tcPr>
            <w:tcW w:w="4523"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rPr>
                <w:rFonts w:ascii="Arial" w:hAnsi="Arial" w:cs="Arial"/>
              </w:rPr>
            </w:pPr>
            <w:r w:rsidRPr="005E35D5">
              <w:rPr>
                <w:rFonts w:ascii="Arial" w:hAnsi="Arial" w:cs="Arial"/>
              </w:rPr>
              <w:t>Lebensmittel die keine oder sehr selten Lebensmittelinfektionen verursachen</w:t>
            </w:r>
          </w:p>
        </w:tc>
        <w:tc>
          <w:tcPr>
            <w:tcW w:w="4555"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rPr>
                <w:rFonts w:ascii="Arial" w:hAnsi="Arial" w:cs="Arial"/>
              </w:rPr>
            </w:pPr>
            <w:r w:rsidRPr="005E35D5">
              <w:rPr>
                <w:rFonts w:ascii="Arial" w:hAnsi="Arial" w:cs="Arial"/>
              </w:rPr>
              <w:t>Lebensmittel, die Schwangere aus Vorsorgegründen eher meiden sollten</w:t>
            </w:r>
          </w:p>
        </w:tc>
      </w:tr>
      <w:tr w:rsidR="005E35D5" w:rsidRPr="005E35D5" w:rsidTr="002D481D">
        <w:trPr>
          <w:trHeight w:val="1312"/>
        </w:trPr>
        <w:tc>
          <w:tcPr>
            <w:tcW w:w="4523"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gegartes Gemüse</w:t>
            </w:r>
          </w:p>
          <w:p w:rsidR="005E35D5" w:rsidRPr="005E35D5" w:rsidRDefault="005E35D5" w:rsidP="005E35D5">
            <w:pPr>
              <w:numPr>
                <w:ilvl w:val="0"/>
                <w:numId w:val="4"/>
              </w:numPr>
              <w:contextualSpacing/>
              <w:rPr>
                <w:rFonts w:ascii="Arial" w:hAnsi="Arial" w:cs="Arial"/>
              </w:rPr>
            </w:pPr>
            <w:r w:rsidRPr="005E35D5">
              <w:rPr>
                <w:rFonts w:ascii="Arial" w:hAnsi="Arial" w:cs="Arial"/>
              </w:rPr>
              <w:t>gründlich gewaschenes oder geschältes rohes Gemüse</w:t>
            </w:r>
          </w:p>
          <w:p w:rsidR="005E35D5" w:rsidRPr="005E35D5" w:rsidRDefault="005E35D5" w:rsidP="005E35D5">
            <w:pPr>
              <w:numPr>
                <w:ilvl w:val="0"/>
                <w:numId w:val="4"/>
              </w:numPr>
              <w:contextualSpacing/>
              <w:rPr>
                <w:rFonts w:ascii="Arial" w:hAnsi="Arial" w:cs="Arial"/>
              </w:rPr>
            </w:pPr>
            <w:r w:rsidRPr="005E35D5">
              <w:rPr>
                <w:rFonts w:ascii="Arial" w:hAnsi="Arial" w:cs="Arial"/>
              </w:rPr>
              <w:t>gründlich gewaschene Blattsalate</w:t>
            </w:r>
          </w:p>
        </w:tc>
        <w:tc>
          <w:tcPr>
            <w:tcW w:w="4555"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vorgefertigte Schnittsalate</w:t>
            </w:r>
          </w:p>
          <w:p w:rsidR="005E35D5" w:rsidRPr="005E35D5" w:rsidRDefault="005E35D5" w:rsidP="005E35D5">
            <w:pPr>
              <w:numPr>
                <w:ilvl w:val="0"/>
                <w:numId w:val="4"/>
              </w:numPr>
              <w:contextualSpacing/>
              <w:rPr>
                <w:rFonts w:ascii="Arial" w:hAnsi="Arial" w:cs="Arial"/>
              </w:rPr>
            </w:pPr>
            <w:r w:rsidRPr="005E35D5">
              <w:rPr>
                <w:rFonts w:ascii="Arial" w:hAnsi="Arial" w:cs="Arial"/>
              </w:rPr>
              <w:t>vorgefertigte Rohsalate(z. B. Krautsalat)</w:t>
            </w:r>
          </w:p>
          <w:p w:rsidR="005E35D5" w:rsidRPr="005E35D5" w:rsidRDefault="005E35D5" w:rsidP="005E35D5">
            <w:pPr>
              <w:numPr>
                <w:ilvl w:val="0"/>
                <w:numId w:val="4"/>
              </w:numPr>
              <w:contextualSpacing/>
              <w:rPr>
                <w:rFonts w:ascii="Arial" w:hAnsi="Arial" w:cs="Arial"/>
              </w:rPr>
            </w:pPr>
            <w:r w:rsidRPr="005E35D5">
              <w:rPr>
                <w:rFonts w:ascii="Arial" w:hAnsi="Arial" w:cs="Arial"/>
              </w:rPr>
              <w:t>ungewaschenes Rohgemüse, ungewaschener Blattsalat</w:t>
            </w:r>
          </w:p>
        </w:tc>
      </w:tr>
      <w:tr w:rsidR="005E35D5" w:rsidRPr="005E35D5" w:rsidTr="002D481D">
        <w:trPr>
          <w:trHeight w:val="776"/>
        </w:trPr>
        <w:tc>
          <w:tcPr>
            <w:tcW w:w="4523"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erhitztes Obst</w:t>
            </w:r>
          </w:p>
          <w:p w:rsidR="005E35D5" w:rsidRPr="005E35D5" w:rsidRDefault="005E35D5" w:rsidP="005E35D5">
            <w:pPr>
              <w:numPr>
                <w:ilvl w:val="0"/>
                <w:numId w:val="4"/>
              </w:numPr>
              <w:contextualSpacing/>
              <w:rPr>
                <w:rFonts w:ascii="Arial" w:hAnsi="Arial" w:cs="Arial"/>
              </w:rPr>
            </w:pPr>
            <w:r w:rsidRPr="005E35D5">
              <w:rPr>
                <w:rFonts w:ascii="Arial" w:hAnsi="Arial" w:cs="Arial"/>
              </w:rPr>
              <w:t>gründlich gewaschenes oder geschältes Obst</w:t>
            </w:r>
          </w:p>
        </w:tc>
        <w:tc>
          <w:tcPr>
            <w:tcW w:w="4555"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 xml:space="preserve">ungeschältes oder ungewaschenes Obst </w:t>
            </w:r>
          </w:p>
          <w:p w:rsidR="005E35D5" w:rsidRPr="005E35D5" w:rsidRDefault="005E35D5" w:rsidP="005E35D5">
            <w:pPr>
              <w:numPr>
                <w:ilvl w:val="0"/>
                <w:numId w:val="4"/>
              </w:numPr>
              <w:contextualSpacing/>
              <w:rPr>
                <w:rFonts w:ascii="Arial" w:hAnsi="Arial" w:cs="Arial"/>
              </w:rPr>
            </w:pPr>
            <w:proofErr w:type="spellStart"/>
            <w:r w:rsidRPr="005E35D5">
              <w:rPr>
                <w:rFonts w:ascii="Arial" w:hAnsi="Arial" w:cs="Arial"/>
              </w:rPr>
              <w:t>unerhitztes</w:t>
            </w:r>
            <w:proofErr w:type="spellEnd"/>
            <w:r w:rsidRPr="005E35D5">
              <w:rPr>
                <w:rFonts w:ascii="Arial" w:hAnsi="Arial" w:cs="Arial"/>
              </w:rPr>
              <w:t xml:space="preserve"> Tiefkühlobst</w:t>
            </w:r>
          </w:p>
        </w:tc>
      </w:tr>
      <w:tr w:rsidR="005E35D5" w:rsidRPr="005E35D5" w:rsidTr="002D481D">
        <w:trPr>
          <w:trHeight w:val="776"/>
        </w:trPr>
        <w:tc>
          <w:tcPr>
            <w:tcW w:w="4523"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industriell hergestellte und abgepackte Gemüse- und Fruchtsäfte</w:t>
            </w:r>
          </w:p>
        </w:tc>
        <w:tc>
          <w:tcPr>
            <w:tcW w:w="4555"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frisch gepresste Säfte an Saftständen</w:t>
            </w:r>
          </w:p>
        </w:tc>
      </w:tr>
      <w:tr w:rsidR="005E35D5" w:rsidRPr="005E35D5" w:rsidTr="002D481D">
        <w:trPr>
          <w:trHeight w:val="1018"/>
        </w:trPr>
        <w:tc>
          <w:tcPr>
            <w:tcW w:w="4523"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wärmebehandelte Milch (pasteurisiert, ultrahocherhitzt, sterilisiert) und daraus hergestellte Produkte (z.B. Jogurt…)</w:t>
            </w:r>
          </w:p>
        </w:tc>
        <w:tc>
          <w:tcPr>
            <w:tcW w:w="4555"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nicht-wärmebehandelte Milch und daraus hergestellte Produkte (z. B. Rohmilch, Sauermilcherzeugnisse aus Rohmilch)</w:t>
            </w:r>
          </w:p>
        </w:tc>
      </w:tr>
      <w:tr w:rsidR="005E35D5" w:rsidRPr="005E35D5" w:rsidTr="002D481D">
        <w:trPr>
          <w:trHeight w:val="535"/>
        </w:trPr>
        <w:tc>
          <w:tcPr>
            <w:tcW w:w="4523"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Schnitt- und Weichkäse aus pasteurisierter Milch</w:t>
            </w:r>
          </w:p>
        </w:tc>
        <w:tc>
          <w:tcPr>
            <w:tcW w:w="4555" w:type="dxa"/>
            <w:tcBorders>
              <w:top w:val="single" w:sz="4" w:space="0" w:color="auto"/>
              <w:left w:val="single" w:sz="4" w:space="0" w:color="auto"/>
              <w:bottom w:val="single" w:sz="4" w:space="0" w:color="auto"/>
              <w:right w:val="single" w:sz="4" w:space="0" w:color="auto"/>
            </w:tcBorders>
            <w:hideMark/>
          </w:tcPr>
          <w:p w:rsidR="005E35D5" w:rsidRPr="005E35D5" w:rsidRDefault="005E35D5" w:rsidP="005E35D5">
            <w:pPr>
              <w:numPr>
                <w:ilvl w:val="0"/>
                <w:numId w:val="4"/>
              </w:numPr>
              <w:contextualSpacing/>
              <w:rPr>
                <w:rFonts w:ascii="Arial" w:hAnsi="Arial" w:cs="Arial"/>
              </w:rPr>
            </w:pPr>
            <w:r w:rsidRPr="005E35D5">
              <w:rPr>
                <w:rFonts w:ascii="Arial" w:hAnsi="Arial" w:cs="Arial"/>
              </w:rPr>
              <w:t>Schnitt- und Weichkäse aus Rohmilch</w:t>
            </w:r>
          </w:p>
        </w:tc>
      </w:tr>
    </w:tbl>
    <w:p w:rsidR="00FC15EC" w:rsidRPr="005D58CB" w:rsidRDefault="00FC15EC" w:rsidP="00970CA5">
      <w:pPr>
        <w:rPr>
          <w:rFonts w:ascii="Arial" w:hAnsi="Arial" w:cs="Arial"/>
          <w:sz w:val="4"/>
          <w:szCs w:val="4"/>
        </w:rPr>
      </w:pPr>
    </w:p>
    <w:p w:rsidR="008E6BD7" w:rsidRPr="00335CDA" w:rsidRDefault="000031CD" w:rsidP="00335CDA">
      <w:pPr>
        <w:spacing w:after="0" w:line="240" w:lineRule="auto"/>
        <w:rPr>
          <w:rFonts w:ascii="Arial" w:hAnsi="Arial" w:cs="Arial"/>
          <w:sz w:val="18"/>
          <w:szCs w:val="18"/>
        </w:rPr>
      </w:pPr>
      <w:r w:rsidRPr="005E35D5">
        <w:rPr>
          <w:rFonts w:ascii="Arial" w:hAnsi="Arial" w:cs="Arial"/>
          <w:sz w:val="18"/>
          <w:szCs w:val="18"/>
        </w:rPr>
        <w:t>Nach:</w:t>
      </w:r>
      <w:r w:rsidR="006D449B" w:rsidRPr="005E35D5">
        <w:rPr>
          <w:rFonts w:ascii="Arial" w:hAnsi="Arial" w:cs="Arial"/>
          <w:sz w:val="18"/>
          <w:szCs w:val="18"/>
        </w:rPr>
        <w:tab/>
      </w:r>
      <w:hyperlink r:id="rId8" w:history="1">
        <w:r w:rsidRPr="005E35D5">
          <w:rPr>
            <w:rStyle w:val="Hyperlink"/>
            <w:rFonts w:ascii="Arial" w:hAnsi="Arial" w:cs="Arial"/>
            <w:color w:val="auto"/>
            <w:sz w:val="18"/>
            <w:szCs w:val="18"/>
            <w:u w:val="none"/>
          </w:rPr>
          <w:t>https://www.frauenarztpraxis-kl.de/inc/files/links/160715_ernaehrung_schwangerschaft.pdf</w:t>
        </w:r>
      </w:hyperlink>
      <w:r w:rsidR="007926DD" w:rsidRPr="005E35D5">
        <w:rPr>
          <w:rStyle w:val="Hyperlink"/>
          <w:rFonts w:ascii="Arial" w:hAnsi="Arial" w:cs="Arial"/>
          <w:color w:val="auto"/>
          <w:sz w:val="18"/>
          <w:szCs w:val="18"/>
          <w:u w:val="none"/>
        </w:rPr>
        <w:t>(18.08.2018)</w:t>
      </w:r>
      <w:r w:rsidR="008E6BD7">
        <w:rPr>
          <w:rFonts w:ascii="Arial" w:hAnsi="Arial" w:cs="Arial"/>
        </w:rPr>
        <w:br w:type="page"/>
      </w:r>
    </w:p>
    <w:p w:rsidR="0087190F" w:rsidRDefault="0087190F" w:rsidP="006D449B">
      <w:pPr>
        <w:spacing w:after="0" w:line="240" w:lineRule="auto"/>
        <w:rPr>
          <w:rFonts w:ascii="Arial" w:hAnsi="Arial" w:cs="Arial"/>
          <w:b/>
        </w:rPr>
      </w:pPr>
      <w:r w:rsidRPr="00D64FC8">
        <w:rPr>
          <w:rFonts w:ascii="Arial" w:hAnsi="Arial" w:cs="Arial"/>
          <w:b/>
        </w:rPr>
        <w:lastRenderedPageBreak/>
        <w:t>Aufgabe 1</w:t>
      </w:r>
    </w:p>
    <w:p w:rsidR="006D449B" w:rsidRPr="006D449B" w:rsidRDefault="006D449B" w:rsidP="006D449B">
      <w:pPr>
        <w:spacing w:after="0" w:line="240" w:lineRule="auto"/>
        <w:rPr>
          <w:rFonts w:ascii="Arial" w:hAnsi="Arial" w:cs="Arial"/>
        </w:rPr>
      </w:pPr>
    </w:p>
    <w:tbl>
      <w:tblPr>
        <w:tblStyle w:val="Tabellenraster"/>
        <w:tblW w:w="0" w:type="auto"/>
        <w:tblInd w:w="108" w:type="dxa"/>
        <w:tblLook w:val="04A0" w:firstRow="1" w:lastRow="0" w:firstColumn="1" w:lastColumn="0" w:noHBand="0" w:noVBand="1"/>
      </w:tblPr>
      <w:tblGrid>
        <w:gridCol w:w="8955"/>
      </w:tblGrid>
      <w:tr w:rsidR="000031CD" w:rsidTr="008E6BD7">
        <w:tc>
          <w:tcPr>
            <w:tcW w:w="9072" w:type="dxa"/>
          </w:tcPr>
          <w:p w:rsidR="000031CD" w:rsidRDefault="00D64FC8" w:rsidP="006D449B">
            <w:pPr>
              <w:rPr>
                <w:rFonts w:ascii="Arial" w:hAnsi="Arial" w:cs="Arial"/>
              </w:rPr>
            </w:pPr>
            <w:r w:rsidRPr="005D58CB">
              <w:rPr>
                <w:rFonts w:ascii="Arial" w:hAnsi="Arial" w:cs="Arial"/>
              </w:rPr>
              <w:t>Kompetenzschwerpunkt „Vom Erreger zur Abwehr“</w:t>
            </w:r>
          </w:p>
          <w:p w:rsidR="00D64FC8" w:rsidRDefault="00D64FC8" w:rsidP="006D449B">
            <w:pPr>
              <w:pStyle w:val="Listenabsatz"/>
              <w:numPr>
                <w:ilvl w:val="0"/>
                <w:numId w:val="3"/>
              </w:numPr>
              <w:ind w:left="284" w:hanging="284"/>
              <w:rPr>
                <w:rFonts w:ascii="Arial" w:hAnsi="Arial" w:cs="Arial"/>
              </w:rPr>
            </w:pPr>
            <w:r w:rsidRPr="005D58CB">
              <w:rPr>
                <w:rFonts w:ascii="Arial" w:hAnsi="Arial" w:cs="Arial"/>
              </w:rPr>
              <w:t>Basiskonzepte „Struktur und Funktion“ sowie „Information und Kommunikation“</w:t>
            </w:r>
          </w:p>
          <w:p w:rsidR="006D449B" w:rsidRPr="006D449B" w:rsidRDefault="006D449B" w:rsidP="006D449B">
            <w:pPr>
              <w:pStyle w:val="Listenabsatz"/>
              <w:ind w:left="284"/>
              <w:rPr>
                <w:rFonts w:ascii="Arial" w:hAnsi="Arial" w:cs="Arial"/>
                <w:sz w:val="20"/>
              </w:rPr>
            </w:pPr>
          </w:p>
        </w:tc>
      </w:tr>
      <w:tr w:rsidR="00D64FC8" w:rsidTr="008E6BD7">
        <w:tc>
          <w:tcPr>
            <w:tcW w:w="9072" w:type="dxa"/>
          </w:tcPr>
          <w:p w:rsidR="00D64FC8" w:rsidRDefault="00D64FC8" w:rsidP="006D449B">
            <w:pPr>
              <w:rPr>
                <w:rFonts w:ascii="Arial" w:hAnsi="Arial" w:cs="Arial"/>
              </w:rPr>
            </w:pPr>
            <w:r w:rsidRPr="005D58CB">
              <w:rPr>
                <w:rFonts w:ascii="Arial" w:hAnsi="Arial" w:cs="Arial"/>
              </w:rPr>
              <w:t>Grundlegende Wissensbestände</w:t>
            </w:r>
          </w:p>
          <w:p w:rsidR="00D64FC8" w:rsidRDefault="00D64FC8" w:rsidP="006D449B">
            <w:pPr>
              <w:pStyle w:val="Listenabsatz"/>
              <w:numPr>
                <w:ilvl w:val="0"/>
                <w:numId w:val="3"/>
              </w:numPr>
              <w:ind w:left="284" w:hanging="284"/>
              <w:rPr>
                <w:rFonts w:ascii="Arial" w:hAnsi="Arial" w:cs="Arial"/>
              </w:rPr>
            </w:pPr>
            <w:r w:rsidRPr="005D58CB">
              <w:rPr>
                <w:rFonts w:ascii="Arial" w:hAnsi="Arial" w:cs="Arial"/>
              </w:rPr>
              <w:t>Immunantwort, Allergie, allergische Reaktion</w:t>
            </w:r>
          </w:p>
          <w:p w:rsidR="006D449B" w:rsidRPr="006D449B" w:rsidRDefault="006D449B" w:rsidP="006D449B">
            <w:pPr>
              <w:pStyle w:val="Listenabsatz"/>
              <w:ind w:left="284"/>
              <w:rPr>
                <w:rFonts w:ascii="Arial" w:hAnsi="Arial" w:cs="Arial"/>
                <w:sz w:val="20"/>
              </w:rPr>
            </w:pPr>
          </w:p>
        </w:tc>
      </w:tr>
      <w:tr w:rsidR="00D64FC8" w:rsidTr="008E6BD7">
        <w:tc>
          <w:tcPr>
            <w:tcW w:w="9072" w:type="dxa"/>
          </w:tcPr>
          <w:p w:rsidR="00D64FC8" w:rsidRPr="005D58CB" w:rsidRDefault="00D64FC8" w:rsidP="006D449B">
            <w:pPr>
              <w:rPr>
                <w:rFonts w:ascii="Arial" w:hAnsi="Arial" w:cs="Arial"/>
                <w:i/>
                <w:u w:val="single"/>
              </w:rPr>
            </w:pPr>
            <w:r w:rsidRPr="005D58CB">
              <w:rPr>
                <w:rFonts w:ascii="Arial" w:hAnsi="Arial" w:cs="Arial"/>
                <w:i/>
                <w:u w:val="single"/>
              </w:rPr>
              <w:t>Kompetenzbereiche</w:t>
            </w:r>
          </w:p>
          <w:p w:rsidR="00D64FC8" w:rsidRDefault="00D64FC8" w:rsidP="006D449B">
            <w:pPr>
              <w:pStyle w:val="Listenabsatz"/>
              <w:numPr>
                <w:ilvl w:val="0"/>
                <w:numId w:val="3"/>
              </w:numPr>
              <w:ind w:left="284" w:hanging="284"/>
              <w:rPr>
                <w:rFonts w:ascii="Arial" w:hAnsi="Arial" w:cs="Arial"/>
              </w:rPr>
            </w:pPr>
            <w:r w:rsidRPr="00D64FC8">
              <w:rPr>
                <w:rFonts w:ascii="Arial" w:hAnsi="Arial" w:cs="Arial"/>
              </w:rPr>
              <w:t>Fachwissen erwerben und anwenden</w:t>
            </w:r>
          </w:p>
          <w:p w:rsidR="00D64FC8" w:rsidRPr="00D64FC8" w:rsidRDefault="00D64FC8" w:rsidP="006D449B">
            <w:pPr>
              <w:pStyle w:val="Listenabsatz"/>
              <w:numPr>
                <w:ilvl w:val="0"/>
                <w:numId w:val="3"/>
              </w:numPr>
              <w:ind w:left="284" w:hanging="284"/>
              <w:rPr>
                <w:rFonts w:ascii="Arial" w:hAnsi="Arial" w:cs="Arial"/>
              </w:rPr>
            </w:pPr>
            <w:r w:rsidRPr="005D58CB">
              <w:rPr>
                <w:rFonts w:ascii="Arial" w:hAnsi="Arial" w:cs="Arial"/>
              </w:rPr>
              <w:t>Aufgabe 1 verlangt das Anwenden grundlegender Wissensbestände auf eine unbekannte Abbildung zum Schwerpunkt Allergie.</w:t>
            </w:r>
          </w:p>
        </w:tc>
      </w:tr>
    </w:tbl>
    <w:p w:rsidR="00D64FC8" w:rsidRDefault="00D64FC8" w:rsidP="006D449B">
      <w:pPr>
        <w:spacing w:after="0" w:line="240" w:lineRule="auto"/>
        <w:rPr>
          <w:rFonts w:ascii="Arial" w:hAnsi="Arial" w:cs="Arial"/>
        </w:rPr>
      </w:pPr>
    </w:p>
    <w:p w:rsidR="0087190F" w:rsidRDefault="0087190F" w:rsidP="006D449B">
      <w:pPr>
        <w:spacing w:after="0" w:line="240" w:lineRule="auto"/>
        <w:rPr>
          <w:rFonts w:ascii="Arial" w:hAnsi="Arial" w:cs="Arial"/>
          <w:b/>
        </w:rPr>
      </w:pPr>
      <w:r w:rsidRPr="00D64FC8">
        <w:rPr>
          <w:rFonts w:ascii="Arial" w:hAnsi="Arial" w:cs="Arial"/>
          <w:b/>
        </w:rPr>
        <w:t>Aufgabe 2</w:t>
      </w:r>
    </w:p>
    <w:p w:rsidR="006D449B" w:rsidRPr="00D64FC8" w:rsidRDefault="006D449B" w:rsidP="006D449B">
      <w:pPr>
        <w:spacing w:after="0" w:line="240" w:lineRule="auto"/>
        <w:rPr>
          <w:rFonts w:ascii="Arial" w:hAnsi="Arial" w:cs="Arial"/>
          <w:b/>
        </w:rPr>
      </w:pPr>
    </w:p>
    <w:tbl>
      <w:tblPr>
        <w:tblStyle w:val="Tabellenraster"/>
        <w:tblW w:w="0" w:type="auto"/>
        <w:tblInd w:w="108" w:type="dxa"/>
        <w:tblLook w:val="04A0" w:firstRow="1" w:lastRow="0" w:firstColumn="1" w:lastColumn="0" w:noHBand="0" w:noVBand="1"/>
      </w:tblPr>
      <w:tblGrid>
        <w:gridCol w:w="8955"/>
      </w:tblGrid>
      <w:tr w:rsidR="00D64FC8" w:rsidTr="008E6BD7">
        <w:tc>
          <w:tcPr>
            <w:tcW w:w="9072" w:type="dxa"/>
          </w:tcPr>
          <w:p w:rsidR="00D64FC8" w:rsidRPr="005D58CB" w:rsidRDefault="00D64FC8" w:rsidP="006D449B">
            <w:pPr>
              <w:rPr>
                <w:rFonts w:ascii="Arial" w:hAnsi="Arial" w:cs="Arial"/>
              </w:rPr>
            </w:pPr>
            <w:r w:rsidRPr="005D58CB">
              <w:rPr>
                <w:rFonts w:ascii="Arial" w:hAnsi="Arial" w:cs="Arial"/>
              </w:rPr>
              <w:t>Kompetenzschwerpunkt „Vom Erreger zur Abwehr“</w:t>
            </w:r>
          </w:p>
          <w:p w:rsidR="00D64FC8" w:rsidRDefault="00D64FC8" w:rsidP="006D449B">
            <w:pPr>
              <w:pStyle w:val="Listenabsatz"/>
              <w:numPr>
                <w:ilvl w:val="0"/>
                <w:numId w:val="3"/>
              </w:numPr>
              <w:ind w:left="284" w:hanging="284"/>
              <w:rPr>
                <w:rFonts w:ascii="Arial" w:hAnsi="Arial" w:cs="Arial"/>
              </w:rPr>
            </w:pPr>
            <w:r w:rsidRPr="005D58CB">
              <w:rPr>
                <w:rFonts w:ascii="Arial" w:hAnsi="Arial" w:cs="Arial"/>
              </w:rPr>
              <w:t>Basiskonzepte „Variabilität und Angepasstheit“  sowie „Information und Kommunikation“</w:t>
            </w:r>
          </w:p>
          <w:p w:rsidR="006D449B" w:rsidRPr="006D449B" w:rsidRDefault="006D449B" w:rsidP="006D449B">
            <w:pPr>
              <w:pStyle w:val="Listenabsatz"/>
              <w:ind w:left="284"/>
              <w:rPr>
                <w:rFonts w:ascii="Arial" w:hAnsi="Arial" w:cs="Arial"/>
                <w:sz w:val="20"/>
              </w:rPr>
            </w:pPr>
          </w:p>
        </w:tc>
      </w:tr>
      <w:tr w:rsidR="00D64FC8" w:rsidTr="008E6BD7">
        <w:tc>
          <w:tcPr>
            <w:tcW w:w="9072" w:type="dxa"/>
          </w:tcPr>
          <w:p w:rsidR="00D83AA2" w:rsidRDefault="00D64FC8" w:rsidP="006D449B">
            <w:pPr>
              <w:rPr>
                <w:rFonts w:ascii="Arial" w:hAnsi="Arial" w:cs="Arial"/>
              </w:rPr>
            </w:pPr>
            <w:r w:rsidRPr="005D58CB">
              <w:rPr>
                <w:rFonts w:ascii="Arial" w:hAnsi="Arial" w:cs="Arial"/>
              </w:rPr>
              <w:t>Grundlegende Wissensbestände</w:t>
            </w:r>
          </w:p>
          <w:p w:rsidR="00D64FC8" w:rsidRDefault="00D64FC8" w:rsidP="006D449B">
            <w:pPr>
              <w:pStyle w:val="Listenabsatz"/>
              <w:numPr>
                <w:ilvl w:val="0"/>
                <w:numId w:val="3"/>
              </w:numPr>
              <w:ind w:left="284" w:hanging="284"/>
              <w:rPr>
                <w:rFonts w:ascii="Arial" w:hAnsi="Arial" w:cs="Arial"/>
              </w:rPr>
            </w:pPr>
            <w:r w:rsidRPr="005D58CB">
              <w:rPr>
                <w:rFonts w:ascii="Arial" w:hAnsi="Arial" w:cs="Arial"/>
              </w:rPr>
              <w:t>Immunantwort, Allergie, allergische Reaktion</w:t>
            </w:r>
          </w:p>
          <w:p w:rsidR="006D449B" w:rsidRPr="006D449B" w:rsidRDefault="006D449B" w:rsidP="006D449B">
            <w:pPr>
              <w:pStyle w:val="Listenabsatz"/>
              <w:ind w:left="284"/>
              <w:rPr>
                <w:rFonts w:ascii="Arial" w:hAnsi="Arial" w:cs="Arial"/>
                <w:sz w:val="20"/>
              </w:rPr>
            </w:pPr>
          </w:p>
        </w:tc>
      </w:tr>
      <w:tr w:rsidR="00D83AA2" w:rsidTr="008E6BD7">
        <w:tc>
          <w:tcPr>
            <w:tcW w:w="9072" w:type="dxa"/>
          </w:tcPr>
          <w:p w:rsidR="00D83AA2" w:rsidRDefault="00D83AA2" w:rsidP="006D449B">
            <w:pPr>
              <w:rPr>
                <w:rFonts w:ascii="Arial" w:hAnsi="Arial" w:cs="Arial"/>
                <w:i/>
                <w:u w:val="single"/>
              </w:rPr>
            </w:pPr>
            <w:r w:rsidRPr="005D58CB">
              <w:rPr>
                <w:rFonts w:ascii="Arial" w:hAnsi="Arial" w:cs="Arial"/>
                <w:i/>
                <w:u w:val="single"/>
              </w:rPr>
              <w:t>Kompetenzbereiche</w:t>
            </w:r>
          </w:p>
          <w:p w:rsidR="00D83AA2" w:rsidRDefault="00D83AA2" w:rsidP="006D449B">
            <w:pPr>
              <w:pStyle w:val="Listenabsatz"/>
              <w:numPr>
                <w:ilvl w:val="0"/>
                <w:numId w:val="3"/>
              </w:numPr>
              <w:ind w:left="284" w:hanging="284"/>
              <w:rPr>
                <w:rFonts w:ascii="Arial" w:hAnsi="Arial" w:cs="Arial"/>
              </w:rPr>
            </w:pPr>
            <w:r w:rsidRPr="005D58CB">
              <w:rPr>
                <w:rFonts w:ascii="Arial" w:hAnsi="Arial" w:cs="Arial"/>
              </w:rPr>
              <w:t>Kommunizieren</w:t>
            </w:r>
          </w:p>
          <w:p w:rsidR="00D83AA2" w:rsidRDefault="00D83AA2" w:rsidP="006D449B">
            <w:pPr>
              <w:pStyle w:val="Listenabsatz"/>
              <w:numPr>
                <w:ilvl w:val="0"/>
                <w:numId w:val="3"/>
              </w:numPr>
              <w:ind w:left="284" w:hanging="284"/>
              <w:rPr>
                <w:rFonts w:ascii="Arial" w:hAnsi="Arial" w:cs="Arial"/>
              </w:rPr>
            </w:pPr>
            <w:r w:rsidRPr="005D58CB">
              <w:rPr>
                <w:rFonts w:ascii="Arial" w:hAnsi="Arial" w:cs="Arial"/>
              </w:rPr>
              <w:t>Reflektieren und Bewerten</w:t>
            </w:r>
          </w:p>
          <w:p w:rsidR="00D83AA2" w:rsidRDefault="00D83AA2" w:rsidP="006D449B">
            <w:pPr>
              <w:pStyle w:val="Listenabsatz"/>
              <w:numPr>
                <w:ilvl w:val="0"/>
                <w:numId w:val="3"/>
              </w:numPr>
              <w:ind w:left="284" w:hanging="284"/>
              <w:rPr>
                <w:rFonts w:ascii="Arial" w:hAnsi="Arial" w:cs="Arial"/>
              </w:rPr>
            </w:pPr>
            <w:r w:rsidRPr="005D58CB">
              <w:rPr>
                <w:rFonts w:ascii="Arial" w:hAnsi="Arial" w:cs="Arial"/>
              </w:rPr>
              <w:t>Die Lernenden verknüpfen unbekannte, unterschiedliche Materialien, um individuelle Maßnahmen zum Allergierisiko abzuwägen.</w:t>
            </w:r>
          </w:p>
          <w:p w:rsidR="006D449B" w:rsidRPr="006D449B" w:rsidRDefault="006D449B" w:rsidP="006D449B">
            <w:pPr>
              <w:pStyle w:val="Listenabsatz"/>
              <w:ind w:left="284"/>
              <w:rPr>
                <w:rFonts w:ascii="Arial" w:hAnsi="Arial" w:cs="Arial"/>
                <w:sz w:val="20"/>
              </w:rPr>
            </w:pPr>
          </w:p>
        </w:tc>
      </w:tr>
    </w:tbl>
    <w:p w:rsidR="0087190F" w:rsidRPr="005D58CB" w:rsidRDefault="0087190F" w:rsidP="00D83AA2">
      <w:pPr>
        <w:rPr>
          <w:rFonts w:ascii="Arial" w:hAnsi="Arial" w:cs="Arial"/>
        </w:rPr>
      </w:pPr>
    </w:p>
    <w:sectPr w:rsidR="0087190F" w:rsidRPr="005D58CB" w:rsidSect="00DD16CA">
      <w:pgSz w:w="11906" w:h="16838"/>
      <w:pgMar w:top="1417" w:right="141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01CB"/>
    <w:multiLevelType w:val="hybridMultilevel"/>
    <w:tmpl w:val="3ED6F0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525938"/>
    <w:multiLevelType w:val="hybridMultilevel"/>
    <w:tmpl w:val="AC887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5827F6"/>
    <w:multiLevelType w:val="hybridMultilevel"/>
    <w:tmpl w:val="BEC4D766"/>
    <w:lvl w:ilvl="0" w:tplc="223CCCDA">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FF1526"/>
    <w:multiLevelType w:val="hybridMultilevel"/>
    <w:tmpl w:val="027E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5D062E"/>
    <w:multiLevelType w:val="hybridMultilevel"/>
    <w:tmpl w:val="6888C500"/>
    <w:lvl w:ilvl="0" w:tplc="4470F264">
      <w:start w:val="2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DB"/>
    <w:rsid w:val="000031CD"/>
    <w:rsid w:val="000176C0"/>
    <w:rsid w:val="00074C81"/>
    <w:rsid w:val="000964F1"/>
    <w:rsid w:val="000A652F"/>
    <w:rsid w:val="000D0F3B"/>
    <w:rsid w:val="00136DCF"/>
    <w:rsid w:val="002D481D"/>
    <w:rsid w:val="00316346"/>
    <w:rsid w:val="00326EEF"/>
    <w:rsid w:val="00335CDA"/>
    <w:rsid w:val="00342B17"/>
    <w:rsid w:val="003635A1"/>
    <w:rsid w:val="003C4535"/>
    <w:rsid w:val="00403627"/>
    <w:rsid w:val="004503F4"/>
    <w:rsid w:val="00490E3C"/>
    <w:rsid w:val="004C57BF"/>
    <w:rsid w:val="00507B1C"/>
    <w:rsid w:val="005110DB"/>
    <w:rsid w:val="005D58CB"/>
    <w:rsid w:val="005E35D5"/>
    <w:rsid w:val="006613FD"/>
    <w:rsid w:val="006D449B"/>
    <w:rsid w:val="00742CF1"/>
    <w:rsid w:val="007926DD"/>
    <w:rsid w:val="007B2715"/>
    <w:rsid w:val="007F59F3"/>
    <w:rsid w:val="0087190F"/>
    <w:rsid w:val="008E6BD7"/>
    <w:rsid w:val="00962DB8"/>
    <w:rsid w:val="00966413"/>
    <w:rsid w:val="00970CA5"/>
    <w:rsid w:val="009A592B"/>
    <w:rsid w:val="009D3B29"/>
    <w:rsid w:val="009E7558"/>
    <w:rsid w:val="00A118FF"/>
    <w:rsid w:val="00A82D86"/>
    <w:rsid w:val="00A97E62"/>
    <w:rsid w:val="00AC1425"/>
    <w:rsid w:val="00B52ECA"/>
    <w:rsid w:val="00BB4C5C"/>
    <w:rsid w:val="00BE2CCF"/>
    <w:rsid w:val="00BF4771"/>
    <w:rsid w:val="00C0768E"/>
    <w:rsid w:val="00C763CD"/>
    <w:rsid w:val="00CB4699"/>
    <w:rsid w:val="00CC1D68"/>
    <w:rsid w:val="00CC4103"/>
    <w:rsid w:val="00CE4081"/>
    <w:rsid w:val="00D117EB"/>
    <w:rsid w:val="00D64FC8"/>
    <w:rsid w:val="00D83AA2"/>
    <w:rsid w:val="00DA7674"/>
    <w:rsid w:val="00DD16CA"/>
    <w:rsid w:val="00DD5A0D"/>
    <w:rsid w:val="00E53FA9"/>
    <w:rsid w:val="00EB32B5"/>
    <w:rsid w:val="00EE64AC"/>
    <w:rsid w:val="00EE6B5D"/>
    <w:rsid w:val="00F132CA"/>
    <w:rsid w:val="00F27CD8"/>
    <w:rsid w:val="00F3286D"/>
    <w:rsid w:val="00F35A4C"/>
    <w:rsid w:val="00F45A36"/>
    <w:rsid w:val="00F85449"/>
    <w:rsid w:val="00FC15EC"/>
    <w:rsid w:val="00FE1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D44E"/>
  <w15:docId w15:val="{B93CAC9A-696D-45EE-A534-9C8916EC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45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75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7558"/>
    <w:rPr>
      <w:rFonts w:ascii="Tahoma" w:hAnsi="Tahoma" w:cs="Tahoma"/>
      <w:sz w:val="16"/>
      <w:szCs w:val="16"/>
    </w:rPr>
  </w:style>
  <w:style w:type="character" w:styleId="Hyperlink">
    <w:name w:val="Hyperlink"/>
    <w:basedOn w:val="Absatz-Standardschriftart"/>
    <w:uiPriority w:val="99"/>
    <w:unhideWhenUsed/>
    <w:rsid w:val="00CC4103"/>
    <w:rPr>
      <w:color w:val="0000FF" w:themeColor="hyperlink"/>
      <w:u w:val="single"/>
    </w:rPr>
  </w:style>
  <w:style w:type="paragraph" w:styleId="Listenabsatz">
    <w:name w:val="List Paragraph"/>
    <w:basedOn w:val="Standard"/>
    <w:uiPriority w:val="34"/>
    <w:qFormat/>
    <w:rsid w:val="000176C0"/>
    <w:pPr>
      <w:ind w:left="720"/>
      <w:contextualSpacing/>
    </w:pPr>
  </w:style>
  <w:style w:type="table" w:styleId="Tabellenraster">
    <w:name w:val="Table Grid"/>
    <w:basedOn w:val="NormaleTabelle"/>
    <w:uiPriority w:val="59"/>
    <w:rsid w:val="00871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D58CB"/>
    <w:rPr>
      <w:color w:val="800080" w:themeColor="followedHyperlink"/>
      <w:u w:val="single"/>
    </w:rPr>
  </w:style>
  <w:style w:type="table" w:customStyle="1" w:styleId="Tabellenraster1">
    <w:name w:val="Tabellenraster1"/>
    <w:basedOn w:val="NormaleTabelle"/>
    <w:next w:val="Tabellenraster"/>
    <w:uiPriority w:val="59"/>
    <w:rsid w:val="005E3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01113">
      <w:bodyDiv w:val="1"/>
      <w:marLeft w:val="0"/>
      <w:marRight w:val="0"/>
      <w:marTop w:val="0"/>
      <w:marBottom w:val="0"/>
      <w:divBdr>
        <w:top w:val="none" w:sz="0" w:space="0" w:color="auto"/>
        <w:left w:val="none" w:sz="0" w:space="0" w:color="auto"/>
        <w:bottom w:val="none" w:sz="0" w:space="0" w:color="auto"/>
        <w:right w:val="none" w:sz="0" w:space="0" w:color="auto"/>
      </w:divBdr>
      <w:divsChild>
        <w:div w:id="2142533309">
          <w:marLeft w:val="0"/>
          <w:marRight w:val="0"/>
          <w:marTop w:val="450"/>
          <w:marBottom w:val="450"/>
          <w:divBdr>
            <w:top w:val="none" w:sz="0" w:space="0" w:color="auto"/>
            <w:left w:val="none" w:sz="0" w:space="0" w:color="auto"/>
            <w:bottom w:val="none" w:sz="0" w:space="0" w:color="auto"/>
            <w:right w:val="none" w:sz="0" w:space="0" w:color="auto"/>
          </w:divBdr>
          <w:divsChild>
            <w:div w:id="1956013196">
              <w:marLeft w:val="0"/>
              <w:marRight w:val="0"/>
              <w:marTop w:val="0"/>
              <w:marBottom w:val="0"/>
              <w:divBdr>
                <w:top w:val="none" w:sz="0" w:space="0" w:color="auto"/>
                <w:left w:val="none" w:sz="0" w:space="0" w:color="auto"/>
                <w:bottom w:val="none" w:sz="0" w:space="0" w:color="auto"/>
                <w:right w:val="none" w:sz="0" w:space="0" w:color="auto"/>
              </w:divBdr>
              <w:divsChild>
                <w:div w:id="1968471048">
                  <w:marLeft w:val="0"/>
                  <w:marRight w:val="0"/>
                  <w:marTop w:val="0"/>
                  <w:marBottom w:val="0"/>
                  <w:divBdr>
                    <w:top w:val="none" w:sz="0" w:space="0" w:color="auto"/>
                    <w:left w:val="none" w:sz="0" w:space="0" w:color="auto"/>
                    <w:bottom w:val="none" w:sz="0" w:space="0" w:color="auto"/>
                    <w:right w:val="none" w:sz="0" w:space="0" w:color="auto"/>
                  </w:divBdr>
                  <w:divsChild>
                    <w:div w:id="727269427">
                      <w:marLeft w:val="0"/>
                      <w:marRight w:val="0"/>
                      <w:marTop w:val="150"/>
                      <w:marBottom w:val="0"/>
                      <w:divBdr>
                        <w:top w:val="single" w:sz="6" w:space="7" w:color="437195"/>
                        <w:left w:val="none" w:sz="0" w:space="0" w:color="auto"/>
                        <w:bottom w:val="none" w:sz="0" w:space="0" w:color="auto"/>
                        <w:right w:val="none" w:sz="0" w:space="0" w:color="auto"/>
                      </w:divBdr>
                      <w:divsChild>
                        <w:div w:id="1672565236">
                          <w:marLeft w:val="0"/>
                          <w:marRight w:val="0"/>
                          <w:marTop w:val="0"/>
                          <w:marBottom w:val="0"/>
                          <w:divBdr>
                            <w:top w:val="none" w:sz="0" w:space="0" w:color="auto"/>
                            <w:left w:val="none" w:sz="0" w:space="0" w:color="auto"/>
                            <w:bottom w:val="none" w:sz="0" w:space="0" w:color="auto"/>
                            <w:right w:val="none" w:sz="0" w:space="0" w:color="auto"/>
                          </w:divBdr>
                          <w:divsChild>
                            <w:div w:id="2212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8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uenarztpraxis-kl.de/inc/files/links/160715_ernaehrung_schwangerschaft.pdf" TargetMode="External"/><Relationship Id="rId3" Type="http://schemas.openxmlformats.org/officeDocument/2006/relationships/settings" Target="settings.xml"/><Relationship Id="rId7" Type="http://schemas.openxmlformats.org/officeDocument/2006/relationships/hyperlink" Target="http://archiv.ub.uni-marburg.de/diss/z2009/0791/pdf/dd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Caspar Kerstin</dc:creator>
  <cp:lastModifiedBy>Olm, Caroline</cp:lastModifiedBy>
  <cp:revision>5</cp:revision>
  <cp:lastPrinted>2020-07-06T10:33:00Z</cp:lastPrinted>
  <dcterms:created xsi:type="dcterms:W3CDTF">2020-07-03T08:07:00Z</dcterms:created>
  <dcterms:modified xsi:type="dcterms:W3CDTF">2020-07-06T10:33:00Z</dcterms:modified>
</cp:coreProperties>
</file>